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FA4D6C">
        <w:rPr>
          <w:rFonts w:ascii="Arial" w:hAnsi="Arial" w:cs="Arial"/>
          <w:b/>
          <w:bCs/>
          <w:i/>
          <w:u w:val="dotted"/>
        </w:rPr>
        <w:t>Licenciatura en</w:t>
      </w:r>
      <w:r w:rsidR="00821141" w:rsidRPr="00FA4D6C">
        <w:rPr>
          <w:rFonts w:ascii="Arial" w:hAnsi="Arial" w:cs="Arial"/>
          <w:b/>
          <w:bCs/>
          <w:i/>
          <w:u w:val="dotted"/>
        </w:rPr>
        <w:t xml:space="preserve"> Medicina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…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821141" w:rsidRDefault="005673FA" w:rsidP="00821141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821141" w:rsidRPr="00FA4D6C">
        <w:rPr>
          <w:rFonts w:ascii="Arial" w:hAnsi="Arial" w:cs="Arial"/>
          <w:b/>
          <w:bCs/>
          <w:i/>
          <w:u w:val="dotted"/>
        </w:rPr>
        <w:t>Materno Infantil</w:t>
      </w:r>
    </w:p>
    <w:p w:rsidR="00D34D54" w:rsidRDefault="00D34D54" w:rsidP="00821141">
      <w:pPr>
        <w:spacing w:line="720" w:lineRule="auto"/>
        <w:ind w:left="709"/>
        <w:rPr>
          <w:rFonts w:ascii="Arial" w:hAnsi="Arial" w:cs="Arial"/>
          <w:b/>
          <w:i/>
          <w:color w:val="808080"/>
          <w:u w:val="dotted"/>
        </w:rPr>
      </w:pPr>
      <w:r w:rsidRPr="00D51855">
        <w:rPr>
          <w:rFonts w:ascii="Arial" w:hAnsi="Arial" w:cs="Arial"/>
        </w:rPr>
        <w:t>ASIGNATURA:</w:t>
      </w:r>
      <w:r w:rsidRPr="00841DC7">
        <w:rPr>
          <w:rFonts w:ascii="Arial" w:hAnsi="Arial" w:cs="Arial"/>
        </w:rPr>
        <w:t xml:space="preserve"> </w:t>
      </w:r>
      <w:r w:rsidR="00821141" w:rsidRPr="00FA4D6C">
        <w:rPr>
          <w:rFonts w:ascii="Arial" w:hAnsi="Arial" w:cs="Arial"/>
          <w:b/>
          <w:i/>
          <w:u w:val="dotted"/>
        </w:rPr>
        <w:t>Genética Médica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  <w:r w:rsidR="00A65A3B">
        <w:rPr>
          <w:rFonts w:ascii="Arial" w:hAnsi="Arial" w:cs="Arial"/>
          <w:i/>
          <w:color w:val="808080"/>
          <w:u w:val="dotted"/>
        </w:rPr>
        <w:t xml:space="preserve">   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C54C28" w:rsidRPr="00FA4D6C">
        <w:rPr>
          <w:rFonts w:ascii="Arial" w:hAnsi="Arial" w:cs="Arial"/>
          <w:i/>
          <w:sz w:val="24"/>
          <w:u w:val="dotted"/>
        </w:rPr>
        <w:t>6 créditos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C54C28">
        <w:rPr>
          <w:rFonts w:ascii="Arial" w:hAnsi="Arial" w:cs="Arial"/>
          <w:i/>
          <w:color w:val="808080"/>
          <w:u w:val="dotted"/>
        </w:rPr>
        <w:t xml:space="preserve"> </w:t>
      </w:r>
      <w:r w:rsidR="00C54C28" w:rsidRPr="00FA4D6C">
        <w:rPr>
          <w:rFonts w:ascii="Arial" w:hAnsi="Arial" w:cs="Arial"/>
          <w:b/>
          <w:i/>
          <w:u w:val="dotted"/>
        </w:rPr>
        <w:t>14 noviembre 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FA4D6C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A4D6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FA4D6C" w:rsidRDefault="00467B91" w:rsidP="005A19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D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Licenciatura en </w:t>
            </w:r>
            <w:r w:rsidR="00FA4D6C">
              <w:rPr>
                <w:rFonts w:ascii="Arial" w:hAnsi="Arial" w:cs="Arial"/>
                <w:b/>
                <w:bCs/>
                <w:sz w:val="22"/>
                <w:szCs w:val="22"/>
              </w:rPr>
              <w:t>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FA4D6C" w:rsidRDefault="00D34D54" w:rsidP="00C54C2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4D6C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FA4D6C" w:rsidRDefault="00C54C28" w:rsidP="00C54C28">
            <w:pPr>
              <w:jc w:val="both"/>
              <w:rPr>
                <w:rFonts w:ascii="Arial" w:hAnsi="Arial" w:cs="Arial"/>
                <w:b/>
                <w:i/>
                <w:u w:val="dotted"/>
              </w:rPr>
            </w:pPr>
            <w:r w:rsidRPr="00FA4D6C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>Genética Médica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FA4D6C" w:rsidRDefault="00D34D54" w:rsidP="00C54C28">
            <w:pPr>
              <w:pStyle w:val="Ttulo8"/>
              <w:rPr>
                <w:rFonts w:ascii="Arial" w:hAnsi="Arial" w:cs="Arial"/>
                <w:b/>
                <w:i/>
                <w:color w:val="auto"/>
                <w:sz w:val="22"/>
                <w:szCs w:val="22"/>
                <w:u w:val="dotted"/>
              </w:rPr>
            </w:pPr>
            <w:r w:rsidRPr="00FA4D6C">
              <w:rPr>
                <w:rFonts w:ascii="Arial" w:hAnsi="Arial" w:cs="Arial"/>
                <w:b/>
                <w:i/>
                <w:color w:val="auto"/>
                <w:sz w:val="22"/>
                <w:szCs w:val="22"/>
                <w:u w:val="dotted"/>
              </w:rPr>
              <w:t xml:space="preserve">Nivel formativo, 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FA4D6C" w:rsidRDefault="00C54C28" w:rsidP="00C54C28">
            <w:pPr>
              <w:jc w:val="both"/>
              <w:rPr>
                <w:rFonts w:ascii="Arial" w:hAnsi="Arial" w:cs="Arial"/>
                <w:b/>
                <w:i/>
                <w:u w:val="dotted"/>
              </w:rPr>
            </w:pPr>
            <w:r w:rsidRPr="00FA4D6C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 xml:space="preserve">Asignaturas del nivel básico, además de </w:t>
            </w:r>
            <w:r w:rsidR="00417EA5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 xml:space="preserve">clínica </w:t>
            </w:r>
            <w:r w:rsidRPr="00FA4D6C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 xml:space="preserve">propedéutica,  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FA4D6C" w:rsidRDefault="00C54C28" w:rsidP="008A1020">
            <w:pPr>
              <w:jc w:val="both"/>
              <w:rPr>
                <w:rFonts w:ascii="Arial" w:hAnsi="Arial" w:cs="Arial"/>
                <w:b/>
                <w:i/>
                <w:u w:val="dotted"/>
              </w:rPr>
            </w:pPr>
            <w:r w:rsidRPr="00FA4D6C">
              <w:rPr>
                <w:rFonts w:ascii="Arial" w:hAnsi="Arial" w:cs="Arial"/>
                <w:b/>
                <w:i/>
                <w:u w:val="dotted"/>
              </w:rPr>
              <w:t xml:space="preserve">Pediatría, Ginecología, Neurología, </w:t>
            </w:r>
            <w:r w:rsidR="00417EA5">
              <w:rPr>
                <w:rFonts w:ascii="Arial" w:hAnsi="Arial" w:cs="Arial"/>
                <w:b/>
                <w:i/>
                <w:u w:val="dotted"/>
              </w:rPr>
              <w:t xml:space="preserve">endocrinología, </w:t>
            </w:r>
            <w:r w:rsidRPr="00FA4D6C">
              <w:rPr>
                <w:rFonts w:ascii="Arial" w:hAnsi="Arial" w:cs="Arial"/>
                <w:b/>
                <w:i/>
                <w:u w:val="dotted"/>
              </w:rPr>
              <w:t>Medicina Interna.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E818F0" w:rsidRDefault="007F7003" w:rsidP="00B808B6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u w:val="dotted"/>
              </w:rPr>
              <w:t>4 h</w:t>
            </w:r>
          </w:p>
        </w:tc>
        <w:tc>
          <w:tcPr>
            <w:tcW w:w="698" w:type="pct"/>
            <w:vAlign w:val="center"/>
          </w:tcPr>
          <w:p w:rsidR="00D34D54" w:rsidRPr="006E34E3" w:rsidRDefault="00E818F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 h</w:t>
            </w:r>
          </w:p>
        </w:tc>
        <w:tc>
          <w:tcPr>
            <w:tcW w:w="698" w:type="pct"/>
            <w:vAlign w:val="center"/>
          </w:tcPr>
          <w:p w:rsidR="00D34D54" w:rsidRPr="006E34E3" w:rsidRDefault="00E818F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D34D54" w:rsidRPr="006E34E3" w:rsidRDefault="00E818F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FA4D6C" w:rsidRDefault="002D44A6" w:rsidP="00FA4D6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A4D6C">
              <w:rPr>
                <w:rFonts w:ascii="Arial" w:hAnsi="Arial" w:cs="Arial"/>
                <w:b/>
                <w:sz w:val="22"/>
                <w:szCs w:val="22"/>
              </w:rPr>
              <w:t>Martha Elba González Mejía, María Patricia Saldaña Guerrero, Miguel Ángel Enríquez Guerra, María Teresa Abad Camacho.</w:t>
            </w:r>
            <w:r w:rsidR="003B6458" w:rsidRPr="00FA4D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4D6C">
              <w:rPr>
                <w:rFonts w:ascii="Arial" w:hAnsi="Arial" w:cs="Arial"/>
                <w:b/>
                <w:sz w:val="22"/>
                <w:szCs w:val="22"/>
              </w:rPr>
              <w:t>Teresita Romero Ogawa</w:t>
            </w:r>
            <w:r w:rsidR="00FA4D6C" w:rsidRPr="00FA4D6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FA4D6C" w:rsidRDefault="007118A1" w:rsidP="007118A1">
            <w:pPr>
              <w:jc w:val="both"/>
              <w:rPr>
                <w:rFonts w:ascii="Arial" w:hAnsi="Arial" w:cs="Arial"/>
                <w:b/>
                <w:i/>
                <w:u w:val="dotted"/>
              </w:rPr>
            </w:pPr>
            <w:r w:rsidRPr="00FA4D6C">
              <w:rPr>
                <w:rFonts w:ascii="Arial" w:hAnsi="Arial" w:cs="Arial"/>
                <w:b/>
                <w:i/>
                <w:sz w:val="22"/>
                <w:szCs w:val="22"/>
                <w:u w:val="dotted"/>
              </w:rPr>
              <w:t>Agosto  2009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3B6458" w:rsidRDefault="007118A1" w:rsidP="007118A1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u w:val="dotted"/>
              </w:rPr>
            </w:pP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14 Noviembre 2016 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3B6458" w:rsidRDefault="007118A1" w:rsidP="007118A1">
            <w:pPr>
              <w:jc w:val="both"/>
              <w:rPr>
                <w:rFonts w:ascii="Arial" w:hAnsi="Arial" w:cs="Arial"/>
                <w:i/>
                <w:color w:val="000000" w:themeColor="text1"/>
                <w:u w:val="dotted"/>
              </w:rPr>
            </w:pP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>14 Noviembre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3B6458" w:rsidRDefault="007118A1" w:rsidP="00FA4D6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6458">
              <w:rPr>
                <w:rFonts w:ascii="Arial" w:hAnsi="Arial" w:cs="Arial"/>
                <w:color w:val="000000" w:themeColor="text1"/>
                <w:sz w:val="22"/>
                <w:szCs w:val="22"/>
              </w:rPr>
              <w:t>Martha Elba González Mejía, María Patricia Saldaña Guerrero, Miguel Ángel Enríquez Guerra,</w:t>
            </w:r>
            <w:r w:rsidR="00FA4D6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Teresita Romero Ogawa, Daniela Juárez Melchor,</w:t>
            </w:r>
            <w:r w:rsidRPr="003B64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María Teresa Abad Camacho.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3B6458" w:rsidRDefault="007118A1" w:rsidP="00F44926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Se actualizaron y modificaron los </w:t>
            </w:r>
            <w:r w:rsidR="00F44926"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capítulos </w:t>
            </w: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>6,</w:t>
            </w:r>
            <w:r w:rsidR="00F44926"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 </w:t>
            </w: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>7</w:t>
            </w:r>
            <w:r w:rsidR="00F44926"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 </w:t>
            </w: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y 8 del programa </w:t>
            </w:r>
            <w:r w:rsidR="00F44926"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anterior, acordando sintetizarlos en una sola  unidad, quedando ahora solo el programa conformado con 6 grandes unidades temáticas; </w:t>
            </w:r>
            <w:r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 xml:space="preserve">Se revisó y actualizó la </w:t>
            </w:r>
            <w:r w:rsidR="00F44926" w:rsidRPr="003B645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>bibliografía</w:t>
            </w:r>
            <w:r w:rsidR="00FA4D6C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u w:val="dotted"/>
              </w:rPr>
              <w:t>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56184" w:rsidRDefault="003B6458" w:rsidP="003B6458">
            <w:pPr>
              <w:jc w:val="both"/>
              <w:rPr>
                <w:b/>
                <w:i/>
                <w:u w:val="dotted"/>
              </w:rPr>
            </w:pPr>
            <w:r w:rsidRPr="00E56184">
              <w:rPr>
                <w:b/>
                <w:i/>
                <w:sz w:val="22"/>
                <w:szCs w:val="22"/>
                <w:u w:val="dotted"/>
              </w:rPr>
              <w:t xml:space="preserve">Licenciatura en Medicina, 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56184" w:rsidRDefault="003B6458" w:rsidP="005A1949">
            <w:pPr>
              <w:jc w:val="both"/>
              <w:rPr>
                <w:b/>
                <w:i/>
                <w:sz w:val="22"/>
                <w:szCs w:val="22"/>
                <w:u w:val="dotted"/>
              </w:rPr>
            </w:pPr>
            <w:r w:rsidRPr="00E56184">
              <w:rPr>
                <w:b/>
                <w:i/>
                <w:sz w:val="22"/>
                <w:szCs w:val="22"/>
                <w:u w:val="dotted"/>
              </w:rPr>
              <w:t>Especialidad, Maestr</w:t>
            </w:r>
            <w:r w:rsidR="00596066" w:rsidRPr="00E56184">
              <w:rPr>
                <w:b/>
                <w:i/>
                <w:sz w:val="22"/>
                <w:szCs w:val="22"/>
                <w:u w:val="dotted"/>
              </w:rPr>
              <w:t>ía o D</w:t>
            </w:r>
            <w:r w:rsidRPr="00E56184">
              <w:rPr>
                <w:b/>
                <w:i/>
                <w:sz w:val="22"/>
                <w:szCs w:val="22"/>
                <w:u w:val="dotted"/>
              </w:rPr>
              <w:t xml:space="preserve">octorado en el </w:t>
            </w:r>
            <w:r w:rsidR="00596066" w:rsidRPr="00E56184">
              <w:rPr>
                <w:b/>
                <w:i/>
                <w:sz w:val="22"/>
                <w:szCs w:val="22"/>
                <w:u w:val="dotted"/>
              </w:rPr>
              <w:t>área de G</w:t>
            </w:r>
            <w:r w:rsidRPr="00E56184">
              <w:rPr>
                <w:b/>
                <w:i/>
                <w:sz w:val="22"/>
                <w:szCs w:val="22"/>
                <w:u w:val="dotted"/>
              </w:rPr>
              <w:t xml:space="preserve">enética </w:t>
            </w:r>
            <w:r w:rsidR="00596066" w:rsidRPr="00E56184">
              <w:rPr>
                <w:b/>
                <w:i/>
                <w:sz w:val="22"/>
                <w:szCs w:val="22"/>
                <w:u w:val="dotted"/>
              </w:rPr>
              <w:t>Médica</w:t>
            </w:r>
            <w:r w:rsidR="00394802" w:rsidRPr="00E56184">
              <w:rPr>
                <w:b/>
                <w:i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56184" w:rsidRDefault="00394802" w:rsidP="00394802">
            <w:pPr>
              <w:spacing w:line="360" w:lineRule="auto"/>
              <w:jc w:val="both"/>
              <w:rPr>
                <w:b/>
                <w:i/>
                <w:u w:val="dotted"/>
              </w:rPr>
            </w:pPr>
            <w:r w:rsidRPr="00E56184">
              <w:rPr>
                <w:b/>
                <w:i/>
                <w:sz w:val="22"/>
                <w:szCs w:val="22"/>
                <w:u w:val="dotted"/>
              </w:rPr>
              <w:t xml:space="preserve">Tres años </w:t>
            </w:r>
            <w:r w:rsidR="00D34D54" w:rsidRPr="00E56184">
              <w:rPr>
                <w:b/>
                <w:i/>
                <w:sz w:val="22"/>
                <w:szCs w:val="22"/>
                <w:u w:val="dotted"/>
              </w:rPr>
              <w:t>Mínima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56184" w:rsidRDefault="00394802" w:rsidP="005A1949">
            <w:pPr>
              <w:spacing w:line="360" w:lineRule="auto"/>
              <w:jc w:val="both"/>
              <w:rPr>
                <w:b/>
                <w:i/>
                <w:u w:val="dotted"/>
              </w:rPr>
            </w:pPr>
            <w:r w:rsidRPr="00E56184">
              <w:rPr>
                <w:b/>
                <w:i/>
                <w:sz w:val="22"/>
                <w:szCs w:val="22"/>
                <w:u w:val="dotted"/>
              </w:rPr>
              <w:t xml:space="preserve">Tres años </w:t>
            </w:r>
            <w:r w:rsidR="00D34D54" w:rsidRPr="00E56184">
              <w:rPr>
                <w:b/>
                <w:i/>
                <w:sz w:val="22"/>
                <w:szCs w:val="22"/>
                <w:u w:val="dotted"/>
              </w:rPr>
              <w:t>Mínima</w:t>
            </w:r>
            <w:r w:rsidRPr="00E56184">
              <w:rPr>
                <w:b/>
                <w:i/>
                <w:sz w:val="22"/>
                <w:szCs w:val="22"/>
                <w:u w:val="dotted"/>
              </w:rPr>
              <w:t>.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870C1" w:rsidRPr="00FA4D6C">
        <w:rPr>
          <w:rFonts w:ascii="Arial" w:hAnsi="Arial" w:cs="Arial"/>
          <w:b/>
          <w:i/>
          <w:sz w:val="22"/>
          <w:szCs w:val="22"/>
          <w:u w:val="dotted"/>
        </w:rPr>
        <w:t>Que el alumno conozca las bases moleculares, la estructura y funcionamiento del genoma humano, Así como los mecanismos de transmisión hereditaria, los métodos y técnicas para el diagnóstico y terapéutica de la patología genética más frecuente.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Pr="00FA4D6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362D58" w:rsidRPr="00FA4D6C">
        <w:rPr>
          <w:rFonts w:ascii="Arial" w:hAnsi="Arial" w:cs="Arial"/>
          <w:b/>
          <w:i/>
          <w:sz w:val="22"/>
          <w:szCs w:val="22"/>
          <w:u w:val="dotted"/>
        </w:rPr>
        <w:t>Dominio de las bases científicas de la medicina;  Dominio de la atención médica general.</w:t>
      </w:r>
      <w:r w:rsidR="00E6239F" w:rsidRPr="00FA4D6C">
        <w:rPr>
          <w:rFonts w:ascii="Arial" w:hAnsi="Arial" w:cs="Arial"/>
          <w:b/>
          <w:i/>
          <w:sz w:val="22"/>
          <w:szCs w:val="22"/>
          <w:u w:val="dotted"/>
        </w:rPr>
        <w:t xml:space="preserve"> </w:t>
      </w:r>
    </w:p>
    <w:p w:rsidR="00362D58" w:rsidRDefault="00362D58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17"/>
        <w:gridCol w:w="3297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771E26">
        <w:trPr>
          <w:trHeight w:val="2293"/>
        </w:trPr>
        <w:tc>
          <w:tcPr>
            <w:tcW w:w="1018" w:type="pct"/>
          </w:tcPr>
          <w:p w:rsidR="00B55A4F" w:rsidRDefault="00B55A4F" w:rsidP="00362D58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362D58" w:rsidRDefault="00785058" w:rsidP="00362D58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UNIDAD I</w:t>
            </w:r>
            <w:r w:rsidR="00362D58" w:rsidRPr="002050D0">
              <w:rPr>
                <w:b/>
                <w:sz w:val="20"/>
                <w:szCs w:val="20"/>
                <w:lang w:val="es-MX"/>
              </w:rPr>
              <w:t xml:space="preserve"> </w:t>
            </w:r>
            <w:r w:rsidR="00362D58" w:rsidRPr="002050D0">
              <w:rPr>
                <w:rFonts w:eastAsia="SimSun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:rsidR="00D4289C" w:rsidRPr="00014EB7" w:rsidRDefault="00362D58" w:rsidP="001B7B4D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2050D0">
              <w:rPr>
                <w:rFonts w:eastAsia="SimSun"/>
                <w:b/>
                <w:bCs/>
                <w:sz w:val="20"/>
                <w:szCs w:val="20"/>
                <w:lang w:val="es-MX"/>
              </w:rPr>
              <w:t>BASES MOLECULARES DE LA GENÉTICA</w:t>
            </w:r>
          </w:p>
        </w:tc>
        <w:tc>
          <w:tcPr>
            <w:tcW w:w="2364" w:type="pct"/>
          </w:tcPr>
          <w:p w:rsidR="0092075E" w:rsidRDefault="0092075E" w:rsidP="0092075E">
            <w:pPr>
              <w:tabs>
                <w:tab w:val="num" w:pos="993"/>
              </w:tabs>
              <w:ind w:left="1134"/>
              <w:rPr>
                <w:sz w:val="16"/>
                <w:szCs w:val="16"/>
              </w:rPr>
            </w:pP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>El dogma central de la genética molecular.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>Componentes fundamentales de los ácidos nucleídos.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 xml:space="preserve">Tipos de </w:t>
            </w:r>
            <w:r w:rsidR="00417EA5">
              <w:rPr>
                <w:sz w:val="16"/>
                <w:szCs w:val="16"/>
              </w:rPr>
              <w:t>A</w:t>
            </w:r>
            <w:r w:rsidRPr="00CC3033">
              <w:rPr>
                <w:sz w:val="16"/>
                <w:szCs w:val="16"/>
              </w:rPr>
              <w:t>DN nuclear y extra nuclear.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 xml:space="preserve">Niveles de condensación del </w:t>
            </w:r>
            <w:r w:rsidR="00417EA5">
              <w:rPr>
                <w:sz w:val="16"/>
                <w:szCs w:val="16"/>
              </w:rPr>
              <w:t>A</w:t>
            </w:r>
            <w:r w:rsidRPr="00CC3033">
              <w:rPr>
                <w:sz w:val="16"/>
                <w:szCs w:val="16"/>
              </w:rPr>
              <w:t>DN nuclear.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>Organización del genoma.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 xml:space="preserve">Replicación del </w:t>
            </w:r>
            <w:r w:rsidR="00417EA5">
              <w:rPr>
                <w:sz w:val="16"/>
                <w:szCs w:val="16"/>
              </w:rPr>
              <w:t>A</w:t>
            </w:r>
            <w:r w:rsidRPr="00CC3033">
              <w:rPr>
                <w:sz w:val="16"/>
                <w:szCs w:val="16"/>
              </w:rPr>
              <w:t>DN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 xml:space="preserve">Procesamiento del </w:t>
            </w:r>
            <w:r w:rsidR="00417EA5">
              <w:rPr>
                <w:sz w:val="16"/>
                <w:szCs w:val="16"/>
              </w:rPr>
              <w:t>A</w:t>
            </w:r>
            <w:r w:rsidRPr="00CC3033">
              <w:rPr>
                <w:sz w:val="16"/>
                <w:szCs w:val="16"/>
              </w:rPr>
              <w:t xml:space="preserve">RNm 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Transcripción y Teoría del Operó</w:t>
            </w:r>
            <w:r w:rsidRPr="00CC3033">
              <w:rPr>
                <w:sz w:val="16"/>
                <w:szCs w:val="16"/>
              </w:rPr>
              <w:t>n</w:t>
            </w:r>
          </w:p>
          <w:p w:rsidR="00362D58" w:rsidRPr="00CC3033" w:rsidRDefault="00362D58" w:rsidP="00362D58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 xml:space="preserve">Código genético y Traducción. </w:t>
            </w:r>
          </w:p>
          <w:p w:rsidR="00D4289C" w:rsidRPr="001B7B4D" w:rsidRDefault="00362D58" w:rsidP="001B7B4D">
            <w:pPr>
              <w:numPr>
                <w:ilvl w:val="1"/>
                <w:numId w:val="9"/>
              </w:numPr>
              <w:tabs>
                <w:tab w:val="clear" w:pos="1440"/>
                <w:tab w:val="num" w:pos="426"/>
                <w:tab w:val="num" w:pos="993"/>
              </w:tabs>
              <w:ind w:left="1134" w:hanging="567"/>
              <w:rPr>
                <w:sz w:val="16"/>
                <w:szCs w:val="16"/>
              </w:rPr>
            </w:pPr>
            <w:r w:rsidRPr="00CC3033">
              <w:rPr>
                <w:sz w:val="16"/>
                <w:szCs w:val="16"/>
              </w:rPr>
              <w:t>Modificaciones postraduccionales.</w:t>
            </w:r>
          </w:p>
        </w:tc>
        <w:tc>
          <w:tcPr>
            <w:tcW w:w="1618" w:type="pct"/>
          </w:tcPr>
          <w:p w:rsidR="00510DBB" w:rsidRDefault="00510DBB" w:rsidP="00510DBB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  <w:r w:rsidRPr="00510DBB">
              <w:rPr>
                <w:i/>
                <w:sz w:val="16"/>
              </w:rPr>
              <w:t>Antología de la Materia de Genética</w:t>
            </w:r>
            <w:r>
              <w:rPr>
                <w:sz w:val="16"/>
              </w:rPr>
              <w:t xml:space="preserve"> </w:t>
            </w:r>
            <w:r w:rsidRPr="00510DBB">
              <w:rPr>
                <w:i/>
                <w:sz w:val="16"/>
              </w:rPr>
              <w:t>Clínica</w:t>
            </w:r>
            <w:r>
              <w:rPr>
                <w:i/>
                <w:sz w:val="16"/>
              </w:rPr>
              <w:t>,</w:t>
            </w:r>
            <w:r w:rsidRPr="00510DBB">
              <w:rPr>
                <w:i/>
                <w:sz w:val="16"/>
              </w:rPr>
              <w:t xml:space="preserve"> </w:t>
            </w:r>
            <w:r w:rsidRPr="00510DBB">
              <w:rPr>
                <w:sz w:val="16"/>
              </w:rPr>
              <w:t>2012</w:t>
            </w:r>
            <w:r>
              <w:rPr>
                <w:sz w:val="16"/>
              </w:rPr>
              <w:t>.</w:t>
            </w:r>
            <w:r w:rsidR="001B7B4D">
              <w:rPr>
                <w:sz w:val="16"/>
              </w:rPr>
              <w:t xml:space="preserve"> </w:t>
            </w:r>
          </w:p>
          <w:p w:rsidR="00C45145" w:rsidRPr="001B7B4D" w:rsidRDefault="00297367" w:rsidP="00A12B8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682924">
              <w:rPr>
                <w:color w:val="000000"/>
                <w:sz w:val="16"/>
                <w:szCs w:val="16"/>
              </w:rPr>
              <w:t>Bradley Schaefer G, JN Thompson. 201</w:t>
            </w:r>
            <w:r w:rsidR="00A12B80" w:rsidRPr="00682924">
              <w:rPr>
                <w:color w:val="000000"/>
                <w:sz w:val="16"/>
                <w:szCs w:val="16"/>
              </w:rPr>
              <w:t>6</w:t>
            </w:r>
            <w:r w:rsidRPr="00682924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B7B4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4289C" w:rsidRPr="006D348C" w:rsidTr="00BA6485">
        <w:trPr>
          <w:trHeight w:val="79"/>
        </w:trPr>
        <w:tc>
          <w:tcPr>
            <w:tcW w:w="1018" w:type="pct"/>
          </w:tcPr>
          <w:p w:rsidR="00B55A4F" w:rsidRDefault="00B55A4F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4289C" w:rsidRPr="003567A6" w:rsidRDefault="00785058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20"/>
                <w:szCs w:val="20"/>
                <w:lang w:val="es-MX"/>
              </w:rPr>
              <w:t>UNIDAD II</w:t>
            </w:r>
            <w:r w:rsidR="0092075E" w:rsidRPr="002050D0">
              <w:rPr>
                <w:b/>
                <w:sz w:val="20"/>
                <w:szCs w:val="20"/>
                <w:lang w:val="es-MX"/>
              </w:rPr>
              <w:t xml:space="preserve"> </w:t>
            </w:r>
            <w:r w:rsidR="0092075E" w:rsidRPr="00AE6A8C">
              <w:rPr>
                <w:b/>
                <w:sz w:val="20"/>
                <w:szCs w:val="20"/>
                <w:lang w:val="es-MX"/>
              </w:rPr>
              <w:t>MUTAGÉNESIS, CARCINOGÉNESIS</w:t>
            </w:r>
            <w:r w:rsidR="0092075E" w:rsidRPr="002050D0">
              <w:rPr>
                <w:b/>
                <w:sz w:val="20"/>
                <w:szCs w:val="20"/>
                <w:lang w:val="es-MX"/>
              </w:rPr>
              <w:t xml:space="preserve"> Y TERATOGÉNEIS</w:t>
            </w:r>
          </w:p>
        </w:tc>
        <w:tc>
          <w:tcPr>
            <w:tcW w:w="2364" w:type="pct"/>
          </w:tcPr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1715D7">
              <w:rPr>
                <w:sz w:val="16"/>
                <w:szCs w:val="16"/>
                <w:lang w:val="es-MX"/>
              </w:rPr>
              <w:t>Concepto de mutación</w:t>
            </w:r>
          </w:p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Agentes causantes</w:t>
            </w:r>
          </w:p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1715D7">
              <w:rPr>
                <w:sz w:val="16"/>
                <w:szCs w:val="16"/>
                <w:lang w:val="es-MX"/>
              </w:rPr>
              <w:t>Clasificación de las mutaciones</w:t>
            </w:r>
          </w:p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1715D7">
              <w:rPr>
                <w:sz w:val="16"/>
                <w:szCs w:val="16"/>
                <w:lang w:val="es-MX"/>
              </w:rPr>
              <w:t>Mecanismos de reparación</w:t>
            </w:r>
          </w:p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1715D7">
              <w:rPr>
                <w:sz w:val="16"/>
                <w:szCs w:val="16"/>
                <w:lang w:val="es-MX"/>
              </w:rPr>
              <w:t>Ejemplos clínicos de mutaciones.</w:t>
            </w:r>
          </w:p>
          <w:p w:rsidR="0092075E" w:rsidRPr="001715D7" w:rsidRDefault="0092075E" w:rsidP="0092075E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1715D7">
              <w:rPr>
                <w:sz w:val="16"/>
                <w:szCs w:val="16"/>
                <w:lang w:val="es-MX"/>
              </w:rPr>
              <w:t>Concepto de teratogénesis.</w:t>
            </w:r>
          </w:p>
          <w:p w:rsidR="00D4289C" w:rsidRPr="0048344C" w:rsidRDefault="0092075E" w:rsidP="00785058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 w:rsidRPr="0048344C">
              <w:rPr>
                <w:sz w:val="16"/>
                <w:szCs w:val="16"/>
                <w:lang w:val="es-MX"/>
              </w:rPr>
              <w:t xml:space="preserve">Agentes teratógenos </w:t>
            </w:r>
            <w:r w:rsidR="0048344C" w:rsidRPr="0048344C">
              <w:rPr>
                <w:sz w:val="16"/>
                <w:szCs w:val="16"/>
                <w:lang w:val="es-MX"/>
              </w:rPr>
              <w:t>y</w:t>
            </w:r>
            <w:r w:rsidR="0048344C">
              <w:rPr>
                <w:sz w:val="16"/>
                <w:szCs w:val="16"/>
                <w:lang w:val="es-MX"/>
              </w:rPr>
              <w:t xml:space="preserve"> c</w:t>
            </w:r>
            <w:r w:rsidR="00785058" w:rsidRPr="0048344C">
              <w:rPr>
                <w:sz w:val="16"/>
                <w:szCs w:val="16"/>
                <w:lang w:val="es-MX"/>
              </w:rPr>
              <w:t>onsecuencias clínicas de</w:t>
            </w:r>
          </w:p>
          <w:p w:rsidR="0048344C" w:rsidRPr="00785058" w:rsidRDefault="0048344C" w:rsidP="00785058">
            <w:pPr>
              <w:numPr>
                <w:ilvl w:val="0"/>
                <w:numId w:val="11"/>
              </w:numPr>
              <w:ind w:left="1134" w:hanging="425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Terminología médica para las anomalías </w:t>
            </w:r>
            <w:r w:rsidR="00137456">
              <w:rPr>
                <w:sz w:val="16"/>
                <w:szCs w:val="16"/>
                <w:lang w:val="es-MX"/>
              </w:rPr>
              <w:t>congénitas.</w:t>
            </w:r>
          </w:p>
        </w:tc>
        <w:tc>
          <w:tcPr>
            <w:tcW w:w="1618" w:type="pct"/>
          </w:tcPr>
          <w:p w:rsidR="00137456" w:rsidRPr="00510DBB" w:rsidRDefault="00137456" w:rsidP="00137456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sz w:val="16"/>
              </w:rPr>
            </w:pPr>
            <w:r>
              <w:rPr>
                <w:i/>
                <w:sz w:val="16"/>
              </w:rPr>
              <w:t>1</w:t>
            </w:r>
            <w:r w:rsidRPr="005F13E8">
              <w:rPr>
                <w:i/>
                <w:sz w:val="16"/>
              </w:rPr>
              <w:t>.-Antología de la Materia de Genética</w:t>
            </w:r>
            <w:r w:rsidRPr="005F13E8">
              <w:rPr>
                <w:sz w:val="16"/>
              </w:rPr>
              <w:t xml:space="preserve"> </w:t>
            </w:r>
            <w:r w:rsidRPr="005F13E8">
              <w:rPr>
                <w:i/>
                <w:sz w:val="16"/>
              </w:rPr>
              <w:t xml:space="preserve">Clínica, </w:t>
            </w:r>
            <w:r w:rsidRPr="005F13E8">
              <w:rPr>
                <w:sz w:val="16"/>
              </w:rPr>
              <w:t>2012.</w:t>
            </w:r>
          </w:p>
          <w:p w:rsidR="00D4289C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  <w:p w:rsidR="00137456" w:rsidRPr="00FA4D6C" w:rsidRDefault="00137456" w:rsidP="005A1949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FA4D6C">
              <w:rPr>
                <w:rFonts w:eastAsia="SimSun"/>
                <w:b/>
                <w:sz w:val="16"/>
                <w:szCs w:val="16"/>
              </w:rPr>
              <w:t>Bibliografía complementaria.</w:t>
            </w:r>
          </w:p>
          <w:p w:rsidR="00A12B80" w:rsidRPr="00A12B80" w:rsidRDefault="00E174A6" w:rsidP="00E174A6">
            <w:pPr>
              <w:pStyle w:val="Prrafodelista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 xml:space="preserve">1.- </w:t>
            </w:r>
            <w:r w:rsidR="00A12B80">
              <w:rPr>
                <w:rFonts w:eastAsia="SimSun"/>
                <w:sz w:val="16"/>
                <w:szCs w:val="16"/>
              </w:rPr>
              <w:fldChar w:fldCharType="begin"/>
            </w:r>
            <w:r>
              <w:rPr>
                <w:rFonts w:eastAsia="SimSun"/>
                <w:sz w:val="16"/>
                <w:szCs w:val="16"/>
              </w:rPr>
              <w:instrText xml:space="preserve"> ADDIN EN.CITE &lt;EndNote&gt;&lt;Cite&gt;&lt;Author&gt;Hennekam&lt;/Author&gt;&lt;Year&gt;2013&lt;/Year&gt;&lt;RecNum&gt;18&lt;/RecNum&gt;&lt;DisplayText&gt;(Hennekam et al., 2013)&lt;/DisplayText&gt;&lt;record&gt;&lt;rec-number&gt;18&lt;/rec-number&gt;&lt;foreign-keys&gt;&lt;key app="EN" db-id="5p2ad0dzmx05avewsduxrd58zwar50trda0e" timestamp="1479247394"&gt;18&lt;/key&gt;&lt;/foreign-keys&gt;&lt;ref-type name="Journal Article"&gt;17&lt;/ref-type&gt;&lt;contributors&gt;&lt;authors&gt;&lt;author&gt;Hennekam, Raoul C&lt;/author&gt;&lt;author&gt;Biesecker, Leslie G&lt;/author&gt;&lt;author&gt;Allanson, Judith E&lt;/author&gt;&lt;author&gt;Hall, Judith G&lt;/author&gt;&lt;author&gt;Opitz, John M&lt;/author&gt;&lt;author&gt;Temple, I Karen&lt;/author&gt;&lt;author&gt;Carey, John C&lt;/author&gt;&lt;/authors&gt;&lt;/contributors&gt;&lt;titles&gt;&lt;title&gt;Elements of morphology: general terms for congenital anomalies&lt;/title&gt;&lt;secondary-title&gt;American Journal of Medical Genetics Part A&lt;/secondary-title&gt;&lt;/titles&gt;&lt;periodical&gt;&lt;full-title&gt;American Journal of Medical Genetics Part A&lt;/full-title&gt;&lt;/periodical&gt;&lt;pages&gt;2726-2733&lt;/pages&gt;&lt;volume&gt;161&lt;/volume&gt;&lt;number&gt;11&lt;/number&gt;&lt;dates&gt;&lt;year&gt;2013&lt;/year&gt;&lt;/dates&gt;&lt;isbn&gt;1552-4833&lt;/isbn&gt;&lt;urls&gt;&lt;/urls&gt;&lt;/record&gt;&lt;/Cite&gt;&lt;Cite&gt;&lt;Author&gt;Hennekam&lt;/Author&gt;&lt;Year&gt;2013&lt;/Year&gt;&lt;RecNum&gt;18&lt;/RecNum&gt;&lt;record&gt;&lt;rec-number&gt;18&lt;/rec-number&gt;&lt;foreign-keys&gt;&lt;key app="EN" db-id="5p2ad0dzmx05avewsduxrd58zwar50trda0e" timestamp="1479247394"&gt;18&lt;/key&gt;&lt;/foreign-keys&gt;&lt;ref-type name="Journal Article"&gt;17&lt;/ref-type&gt;&lt;contributors&gt;&lt;authors&gt;&lt;author&gt;Hennekam, Raoul C&lt;/author&gt;&lt;author&gt;Biesecker, Leslie G&lt;/author&gt;&lt;author&gt;Allanson, Judith E&lt;/author&gt;&lt;author&gt;Hall, Judith G&lt;/author&gt;&lt;author&gt;Opitz, John M&lt;/author&gt;&lt;author&gt;Temple, I Karen&lt;/author&gt;&lt;author&gt;Carey, John C&lt;/author&gt;&lt;/authors&gt;&lt;/contributors&gt;&lt;titles&gt;&lt;title&gt;Elements of morphology: general terms for congenital anomalies&lt;/title&gt;&lt;secondary-title&gt;American Journal of Medical Genetics Part A&lt;/secondary-title&gt;&lt;/titles&gt;&lt;periodical&gt;&lt;full-title&gt;American Journal of Medical Genetics Part A&lt;/full-title&gt;&lt;/periodical&gt;&lt;pages&gt;2726-2733&lt;/pages&gt;&lt;volume&gt;161&lt;/volume&gt;&lt;number&gt;11&lt;/number&gt;&lt;dates&gt;&lt;year&gt;2013&lt;/year&gt;&lt;/dates&gt;&lt;isbn&gt;1552-4833&lt;/isbn&gt;&lt;urls&gt;&lt;/urls&gt;&lt;/record&gt;&lt;/Cite&gt;&lt;/EndNote&gt;</w:instrText>
            </w:r>
            <w:r w:rsidR="00A12B80">
              <w:rPr>
                <w:rFonts w:eastAsia="SimSun"/>
                <w:sz w:val="16"/>
                <w:szCs w:val="16"/>
              </w:rPr>
              <w:fldChar w:fldCharType="separate"/>
            </w:r>
            <w:r>
              <w:rPr>
                <w:rFonts w:eastAsia="SimSun"/>
                <w:noProof/>
                <w:sz w:val="16"/>
                <w:szCs w:val="16"/>
              </w:rPr>
              <w:t>(Hennekam et al., 2013)</w:t>
            </w:r>
            <w:r w:rsidR="00A12B80">
              <w:rPr>
                <w:rFonts w:eastAsia="SimSun"/>
                <w:sz w:val="16"/>
                <w:szCs w:val="16"/>
              </w:rPr>
              <w:fldChar w:fldCharType="end"/>
            </w:r>
          </w:p>
          <w:p w:rsidR="0024532A" w:rsidRPr="0024532A" w:rsidRDefault="0024532A" w:rsidP="00E174A6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24532A">
              <w:rPr>
                <w:rFonts w:eastAsia="SimSun"/>
                <w:b/>
                <w:sz w:val="16"/>
                <w:szCs w:val="16"/>
              </w:rPr>
              <w:t>2.-</w:t>
            </w:r>
            <w:r w:rsidR="00E174A6">
              <w:rPr>
                <w:rFonts w:eastAsia="SimSun"/>
                <w:b/>
                <w:sz w:val="16"/>
                <w:szCs w:val="16"/>
              </w:rPr>
              <w:fldChar w:fldCharType="begin"/>
            </w:r>
            <w:r w:rsidR="00E174A6">
              <w:rPr>
                <w:rFonts w:eastAsia="SimSun"/>
                <w:b/>
                <w:sz w:val="16"/>
                <w:szCs w:val="16"/>
              </w:rPr>
              <w:instrText xml:space="preserve"> ADDIN EN.CITE &lt;EndNote&gt;&lt;Cite&gt;&lt;Author&gt;Wilson&lt;/Author&gt;&lt;Year&gt;2007&lt;/Year&gt;&lt;RecNum&gt;23&lt;/RecNum&gt;&lt;DisplayText&gt;(Wilson et al., 2007)&lt;/DisplayText&gt;&lt;record&gt;&lt;rec-number&gt;23&lt;/rec-number&gt;&lt;foreign-keys&gt;&lt;key app="EN" db-id="5p2ad0dzmx05avewsduxrd58zwar50trda0e" timestamp="1479248547"&gt;23&lt;/key&gt;&lt;/foreign-keys&gt;&lt;ref-type name="Journal Article"&gt;17&lt;/ref-type&gt;&lt;contributors&gt;&lt;authors&gt;&lt;author&gt;Wilson, R Douglas&lt;/author&gt;&lt;author&gt;Désilets, Valerie&lt;/author&gt;&lt;author&gt;Wyatt, Philip&lt;/author&gt;&lt;author&gt;Langlois, Sylvie&lt;/author&gt;&lt;author&gt;Gagnon, Alain&lt;/author&gt;&lt;author&gt;Allen, Victoria&lt;/author&gt;&lt;author&gt;Blight, Claire&lt;/author&gt;&lt;author&gt;Johnson, Jo-Ann&lt;/author&gt;&lt;author&gt;Audibert, François&lt;/author&gt;&lt;author&gt;Brock, Jo-Ann&lt;/author&gt;&lt;/authors&gt;&lt;/contributors&gt;&lt;titles&gt;&lt;title&gt;Pre-conceptional vitamin/folic acid supplementation 2007: the use of folic acid in combination with a multivitamin supplement for the prevention of neural tube defects and other congenital anomalies&lt;/title&gt;&lt;secondary-title&gt;Journal of obstetrics and gynaecology Canada&lt;/secondary-title&gt;&lt;/titles&gt;&lt;periodical&gt;&lt;full-title&gt;Journal of obstetrics and gynaecology Canada&lt;/full-title&gt;&lt;/periodical&gt;&lt;pages&gt;1003-1013&lt;/pages&gt;&lt;volume&gt;29&lt;/volume&gt;&lt;number&gt;12&lt;/number&gt;&lt;dates&gt;&lt;year&gt;2007&lt;/year&gt;&lt;/dates&gt;&lt;isbn&gt;1701-2163&lt;/isbn&gt;&lt;urls&gt;&lt;/urls&gt;&lt;/record&gt;&lt;/Cite&gt;&lt;/EndNote&gt;</w:instrText>
            </w:r>
            <w:r w:rsidR="00E174A6">
              <w:rPr>
                <w:rFonts w:eastAsia="SimSun"/>
                <w:b/>
                <w:sz w:val="16"/>
                <w:szCs w:val="16"/>
              </w:rPr>
              <w:fldChar w:fldCharType="separate"/>
            </w:r>
            <w:r w:rsidR="00E174A6">
              <w:rPr>
                <w:rFonts w:eastAsia="SimSun"/>
                <w:b/>
                <w:noProof/>
                <w:sz w:val="16"/>
                <w:szCs w:val="16"/>
              </w:rPr>
              <w:t>(Wilson et al., 2007)</w:t>
            </w:r>
            <w:r w:rsidR="00E174A6">
              <w:rPr>
                <w:rFonts w:eastAsia="SimSun"/>
                <w:b/>
                <w:sz w:val="16"/>
                <w:szCs w:val="16"/>
              </w:rPr>
              <w:fldChar w:fldCharType="end"/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B55A4F" w:rsidRDefault="00B55A4F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785058" w:rsidRDefault="00785058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UNIDAD III</w:t>
            </w:r>
            <w:r w:rsidR="0092075E" w:rsidRPr="00942D64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D4289C" w:rsidRPr="003567A6" w:rsidRDefault="0092075E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942D64">
              <w:rPr>
                <w:b/>
                <w:sz w:val="20"/>
                <w:szCs w:val="20"/>
                <w:lang w:val="es-MX"/>
              </w:rPr>
              <w:t>TIPOS DE HERENCIA Y EL ÁRBOL GENEALÓGICO</w:t>
            </w:r>
          </w:p>
        </w:tc>
        <w:tc>
          <w:tcPr>
            <w:tcW w:w="2364" w:type="pct"/>
          </w:tcPr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División celular: mitosis y meiosis.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Gametogénesis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Leyes de Mendel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El árbol genealógico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Herencia Clásica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Herencia no clásica</w:t>
            </w:r>
          </w:p>
          <w:p w:rsidR="0092075E" w:rsidRPr="00002D63" w:rsidRDefault="0092075E" w:rsidP="0092075E">
            <w:pPr>
              <w:numPr>
                <w:ilvl w:val="1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Mosaicismo</w:t>
            </w:r>
          </w:p>
          <w:p w:rsidR="0092075E" w:rsidRPr="00002D63" w:rsidRDefault="0092075E" w:rsidP="0092075E">
            <w:pPr>
              <w:numPr>
                <w:ilvl w:val="1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Impronta genómica</w:t>
            </w:r>
          </w:p>
          <w:p w:rsidR="0092075E" w:rsidRPr="00002D63" w:rsidRDefault="0092075E" w:rsidP="0092075E">
            <w:pPr>
              <w:numPr>
                <w:ilvl w:val="1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Disomía uniparental</w:t>
            </w:r>
          </w:p>
          <w:p w:rsidR="0092075E" w:rsidRPr="00002D63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Herencia mitocondrial.</w:t>
            </w:r>
          </w:p>
          <w:p w:rsidR="0092075E" w:rsidRDefault="0092075E" w:rsidP="0092075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 w:rsidRPr="00002D63">
              <w:rPr>
                <w:sz w:val="16"/>
                <w:szCs w:val="16"/>
                <w:lang w:val="es-MX"/>
              </w:rPr>
              <w:t>Herencia multifactorial</w:t>
            </w:r>
            <w:r w:rsidR="00AA28DF">
              <w:rPr>
                <w:sz w:val="16"/>
                <w:szCs w:val="16"/>
                <w:lang w:val="es-MX"/>
              </w:rPr>
              <w:t>.</w:t>
            </w:r>
          </w:p>
          <w:p w:rsidR="00D4289C" w:rsidRPr="001547A2" w:rsidRDefault="0092075E" w:rsidP="001547A2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Ep</w:t>
            </w:r>
            <w:r w:rsidRPr="002050D0">
              <w:rPr>
                <w:sz w:val="16"/>
                <w:szCs w:val="16"/>
              </w:rPr>
              <w:t>igen</w:t>
            </w:r>
            <w:r w:rsidR="007F1CB6">
              <w:rPr>
                <w:sz w:val="16"/>
                <w:szCs w:val="16"/>
              </w:rPr>
              <w:t>é</w:t>
            </w:r>
            <w:r w:rsidRPr="002050D0">
              <w:rPr>
                <w:sz w:val="16"/>
                <w:szCs w:val="16"/>
              </w:rPr>
              <w:t xml:space="preserve">tica, como moduladora de la expresión de los genes. </w:t>
            </w:r>
          </w:p>
        </w:tc>
        <w:tc>
          <w:tcPr>
            <w:tcW w:w="1618" w:type="pct"/>
          </w:tcPr>
          <w:p w:rsidR="00A12B80" w:rsidRDefault="00A12B80" w:rsidP="00A12B80">
            <w:pPr>
              <w:jc w:val="center"/>
              <w:rPr>
                <w:rFonts w:eastAsia="SimSun"/>
                <w:sz w:val="16"/>
                <w:szCs w:val="16"/>
                <w:lang w:val="en-US"/>
              </w:rPr>
            </w:pPr>
          </w:p>
          <w:p w:rsidR="00A12B80" w:rsidRDefault="00A12B80" w:rsidP="00A12B80">
            <w:pPr>
              <w:jc w:val="center"/>
              <w:rPr>
                <w:rFonts w:eastAsia="SimSun"/>
                <w:sz w:val="16"/>
                <w:szCs w:val="16"/>
                <w:lang w:val="en-US"/>
              </w:rPr>
            </w:pPr>
          </w:p>
          <w:p w:rsidR="00D4289C" w:rsidRDefault="00DD0FB4" w:rsidP="00A12B80">
            <w:pPr>
              <w:jc w:val="center"/>
              <w:rPr>
                <w:rFonts w:eastAsia="SimSun"/>
                <w:noProof/>
                <w:sz w:val="16"/>
                <w:szCs w:val="16"/>
              </w:rPr>
            </w:pPr>
            <w:r w:rsidRPr="005F13E8">
              <w:rPr>
                <w:rFonts w:eastAsia="SimSun"/>
                <w:sz w:val="16"/>
                <w:szCs w:val="16"/>
                <w:lang w:val="en-US"/>
              </w:rPr>
              <w:t xml:space="preserve">1.- </w:t>
            </w:r>
            <w:r w:rsidR="00A12B80" w:rsidRPr="00DD0FB4">
              <w:rPr>
                <w:rFonts w:eastAsia="SimSun"/>
                <w:noProof/>
                <w:sz w:val="16"/>
                <w:szCs w:val="16"/>
              </w:rPr>
              <w:t>Yourkowitzky Lisker, Dehesa, y González, 2013</w:t>
            </w:r>
          </w:p>
          <w:p w:rsidR="00A12B80" w:rsidRDefault="00A12B80" w:rsidP="00A12B80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880842" w:rsidRPr="00FA4D6C" w:rsidRDefault="00880842" w:rsidP="0088084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FA4D6C">
              <w:rPr>
                <w:rFonts w:eastAsia="SimSun"/>
                <w:b/>
                <w:sz w:val="16"/>
                <w:szCs w:val="16"/>
              </w:rPr>
              <w:t>Bibliografía complementaria.</w:t>
            </w:r>
          </w:p>
          <w:p w:rsidR="00B61B75" w:rsidRPr="005F13E8" w:rsidRDefault="00880842" w:rsidP="00880842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1.-</w:t>
            </w:r>
            <w:r>
              <w:rPr>
                <w:rFonts w:eastAsia="SimSun"/>
                <w:sz w:val="16"/>
                <w:szCs w:val="16"/>
              </w:rPr>
              <w:fldChar w:fldCharType="begin"/>
            </w:r>
            <w:r>
              <w:rPr>
                <w:rFonts w:eastAsia="SimSun"/>
                <w:sz w:val="16"/>
                <w:szCs w:val="16"/>
              </w:rPr>
              <w:instrText xml:space="preserve"> ADDIN EN.CITE &lt;EndNote&gt;&lt;Cite&gt;&lt;Author&gt;Wiener-Megnazi&lt;/Author&gt;&lt;Year&gt;2012&lt;/Year&gt;&lt;RecNum&gt;24&lt;/RecNum&gt;&lt;DisplayText&gt;(Wiener-Megnazi, Auslender, &amp;amp; Dirnfeld, 2012)&lt;/DisplayText&gt;&lt;record&gt;&lt;rec-number&gt;24&lt;/rec-number&gt;&lt;foreign-keys&gt;&lt;key app="EN" db-id="5p2ad0dzmx05avewsduxrd58zwar50trda0e" timestamp="1479248685"&gt;24&lt;/key&gt;&lt;/foreign-keys&gt;&lt;ref-type name="Journal Article"&gt;17&lt;/ref-type&gt;&lt;contributors&gt;&lt;authors&gt;&lt;author&gt;Wiener-Megnazi, Zofnat&lt;/author&gt;&lt;author&gt;Auslender, Ron&lt;/author&gt;&lt;author&gt;Dirnfeld, Martha&lt;/author&gt;&lt;/authors&gt;&lt;/contributors&gt;&lt;titles&gt;&lt;title&gt;Advanced paternal age and reproductive outcome&lt;/title&gt;&lt;secondary-title&gt;Asian J Androl&lt;/secondary-title&gt;&lt;/titles&gt;&lt;periodical&gt;&lt;full-title&gt;Asian J Androl&lt;/full-title&gt;&lt;/periodical&gt;&lt;pages&gt;69-76&lt;/pages&gt;&lt;volume&gt;14&lt;/volume&gt;&lt;number&gt;1&lt;/number&gt;&lt;dates&gt;&lt;year&gt;2012&lt;/year&gt;&lt;/dates&gt;&lt;urls&gt;&lt;/urls&gt;&lt;/record&gt;&lt;/Cite&gt;&lt;/EndNote&gt;</w:instrText>
            </w:r>
            <w:r>
              <w:rPr>
                <w:rFonts w:eastAsia="SimSun"/>
                <w:sz w:val="16"/>
                <w:szCs w:val="16"/>
              </w:rPr>
              <w:fldChar w:fldCharType="separate"/>
            </w:r>
            <w:r>
              <w:rPr>
                <w:rFonts w:eastAsia="SimSun"/>
                <w:noProof/>
                <w:sz w:val="16"/>
                <w:szCs w:val="16"/>
              </w:rPr>
              <w:t>(Wiener-Megnazi, Auslender, &amp; Dirnfeld, 2012)</w:t>
            </w:r>
            <w:r>
              <w:rPr>
                <w:rFonts w:eastAsia="SimSun"/>
                <w:sz w:val="16"/>
                <w:szCs w:val="16"/>
              </w:rPr>
              <w:fldChar w:fldCharType="end"/>
            </w:r>
            <w:r w:rsidR="00B61B75">
              <w:rPr>
                <w:rFonts w:eastAsia="SimSun"/>
                <w:sz w:val="16"/>
                <w:szCs w:val="16"/>
              </w:rPr>
              <w:t xml:space="preserve"> </w:t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B55A4F" w:rsidRDefault="00B55A4F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4289C" w:rsidRPr="003567A6" w:rsidRDefault="00DF674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20"/>
                <w:szCs w:val="20"/>
                <w:lang w:val="es-MX"/>
              </w:rPr>
              <w:t>UNIDAD IV</w:t>
            </w:r>
            <w:r w:rsidR="00952022" w:rsidRPr="00844588">
              <w:rPr>
                <w:b/>
                <w:sz w:val="20"/>
                <w:szCs w:val="20"/>
                <w:lang w:val="es-MX"/>
              </w:rPr>
              <w:t xml:space="preserve"> NORMALIDAD VS </w:t>
            </w:r>
            <w:r w:rsidR="00952022">
              <w:rPr>
                <w:b/>
                <w:sz w:val="20"/>
                <w:szCs w:val="20"/>
                <w:lang w:val="es-MX"/>
              </w:rPr>
              <w:t>ANORMALIDAD CROMOSÓMICA Y SUS MÉ</w:t>
            </w:r>
            <w:r w:rsidR="00952022" w:rsidRPr="00844588">
              <w:rPr>
                <w:b/>
                <w:sz w:val="20"/>
                <w:szCs w:val="20"/>
                <w:lang w:val="es-MX"/>
              </w:rPr>
              <w:t>TODOS</w:t>
            </w:r>
            <w:r w:rsidR="00952022">
              <w:rPr>
                <w:b/>
                <w:sz w:val="20"/>
                <w:szCs w:val="20"/>
                <w:lang w:val="es-MX"/>
              </w:rPr>
              <w:t xml:space="preserve"> DIAGNÓ</w:t>
            </w:r>
            <w:r w:rsidR="00952022" w:rsidRPr="00844588">
              <w:rPr>
                <w:b/>
                <w:sz w:val="20"/>
                <w:szCs w:val="20"/>
                <w:lang w:val="es-MX"/>
              </w:rPr>
              <w:t>STICOS</w:t>
            </w:r>
          </w:p>
        </w:tc>
        <w:tc>
          <w:tcPr>
            <w:tcW w:w="2364" w:type="pct"/>
          </w:tcPr>
          <w:p w:rsidR="00952022" w:rsidRPr="00ED4A00" w:rsidRDefault="00952022" w:rsidP="0095202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 w:rsidRPr="00ED4A00">
              <w:rPr>
                <w:sz w:val="16"/>
                <w:szCs w:val="16"/>
                <w:lang w:val="es-MX"/>
              </w:rPr>
              <w:t>Clasificación de Denver</w:t>
            </w:r>
            <w:r w:rsidR="001547A2">
              <w:rPr>
                <w:sz w:val="16"/>
                <w:szCs w:val="16"/>
                <w:lang w:val="es-MX"/>
              </w:rPr>
              <w:t xml:space="preserve"> y de París.</w:t>
            </w:r>
          </w:p>
          <w:p w:rsidR="00952022" w:rsidRDefault="00952022" w:rsidP="0095202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 w:rsidRPr="00ED4A00">
              <w:rPr>
                <w:sz w:val="16"/>
                <w:szCs w:val="16"/>
                <w:lang w:val="es-MX"/>
              </w:rPr>
              <w:t>Criterios e indicaciones para el cariotipo humano</w:t>
            </w:r>
          </w:p>
          <w:p w:rsidR="00952022" w:rsidRPr="00ED4A00" w:rsidRDefault="00952022" w:rsidP="0095202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Aneuploidías y Euploidia</w:t>
            </w:r>
          </w:p>
          <w:p w:rsidR="00952022" w:rsidRPr="00ED4A00" w:rsidRDefault="00952022" w:rsidP="0095202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 w:rsidRPr="00ED4A00">
              <w:rPr>
                <w:sz w:val="16"/>
                <w:szCs w:val="16"/>
                <w:lang w:val="es-MX"/>
              </w:rPr>
              <w:t xml:space="preserve">Mecanismos etiológicos: No disyunción </w:t>
            </w:r>
            <w:r>
              <w:rPr>
                <w:sz w:val="16"/>
                <w:szCs w:val="16"/>
                <w:lang w:val="es-MX"/>
              </w:rPr>
              <w:t>(meiosis I y II)</w:t>
            </w:r>
          </w:p>
          <w:p w:rsidR="00952022" w:rsidRPr="00315015" w:rsidRDefault="001547A2" w:rsidP="0095202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</w:t>
            </w:r>
            <w:r w:rsidR="00952022">
              <w:rPr>
                <w:sz w:val="16"/>
                <w:szCs w:val="16"/>
                <w:lang w:val="es-MX"/>
              </w:rPr>
              <w:t>studio</w:t>
            </w:r>
            <w:r>
              <w:rPr>
                <w:sz w:val="16"/>
                <w:szCs w:val="16"/>
                <w:lang w:val="es-MX"/>
              </w:rPr>
              <w:t>s</w:t>
            </w:r>
            <w:r w:rsidR="00952022" w:rsidRPr="00315015">
              <w:rPr>
                <w:sz w:val="16"/>
                <w:szCs w:val="16"/>
                <w:lang w:val="es-MX"/>
              </w:rPr>
              <w:t xml:space="preserve"> clínicos representativos de anor</w:t>
            </w:r>
            <w:r>
              <w:rPr>
                <w:sz w:val="16"/>
                <w:szCs w:val="16"/>
                <w:lang w:val="es-MX"/>
              </w:rPr>
              <w:t xml:space="preserve">malidades  tanto en autosomas como </w:t>
            </w:r>
            <w:r w:rsidR="00952022" w:rsidRPr="00315015">
              <w:rPr>
                <w:sz w:val="16"/>
                <w:szCs w:val="16"/>
                <w:lang w:val="es-MX"/>
              </w:rPr>
              <w:t>gonosomas</w:t>
            </w:r>
          </w:p>
          <w:p w:rsidR="00D4289C" w:rsidRPr="001547A2" w:rsidRDefault="001547A2" w:rsidP="001547A2">
            <w:pPr>
              <w:numPr>
                <w:ilvl w:val="0"/>
                <w:numId w:val="13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</w:t>
            </w:r>
            <w:r w:rsidR="00952022">
              <w:rPr>
                <w:sz w:val="16"/>
                <w:szCs w:val="16"/>
                <w:lang w:val="es-MX"/>
              </w:rPr>
              <w:t>studio</w:t>
            </w:r>
            <w:r>
              <w:rPr>
                <w:sz w:val="16"/>
                <w:szCs w:val="16"/>
                <w:lang w:val="es-MX"/>
              </w:rPr>
              <w:t>s</w:t>
            </w:r>
            <w:r w:rsidR="00952022" w:rsidRPr="00315015">
              <w:rPr>
                <w:sz w:val="16"/>
                <w:szCs w:val="16"/>
                <w:lang w:val="es-MX"/>
              </w:rPr>
              <w:t xml:space="preserve"> clínicos </w:t>
            </w:r>
            <w:r w:rsidR="00952022">
              <w:rPr>
                <w:sz w:val="16"/>
                <w:szCs w:val="16"/>
                <w:lang w:val="es-MX"/>
              </w:rPr>
              <w:t xml:space="preserve">de anomalías </w:t>
            </w:r>
            <w:r w:rsidR="00952022" w:rsidRPr="00ED4A00">
              <w:rPr>
                <w:sz w:val="16"/>
                <w:szCs w:val="16"/>
                <w:lang w:val="es-MX"/>
              </w:rPr>
              <w:t>cromosómicas estructurales</w:t>
            </w:r>
            <w:r w:rsidR="00952022" w:rsidRPr="00895130"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618" w:type="pct"/>
          </w:tcPr>
          <w:p w:rsidR="00D4289C" w:rsidRDefault="00D4289C" w:rsidP="00510DBB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A12B80" w:rsidRPr="00A12B80" w:rsidRDefault="00A12B80" w:rsidP="000C2F5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2B80">
              <w:rPr>
                <w:rFonts w:eastAsia="SimSun"/>
                <w:noProof/>
                <w:sz w:val="16"/>
                <w:szCs w:val="16"/>
              </w:rPr>
              <w:t xml:space="preserve">Del Castillo Ruiz, Uranga Hernandez, y Zafra de la Rosa, </w:t>
            </w:r>
          </w:p>
          <w:p w:rsidR="00B43F64" w:rsidRPr="00B61B75" w:rsidRDefault="00B43F64" w:rsidP="000C2F5F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2B80">
              <w:rPr>
                <w:rFonts w:eastAsia="SimSun"/>
                <w:i/>
                <w:noProof/>
                <w:sz w:val="16"/>
                <w:szCs w:val="16"/>
              </w:rPr>
              <w:t>Antología de la Materia de Clínica Genética</w:t>
            </w:r>
            <w:r w:rsidRPr="00A12B80">
              <w:rPr>
                <w:rFonts w:eastAsia="SimSun"/>
                <w:noProof/>
                <w:sz w:val="16"/>
                <w:szCs w:val="16"/>
              </w:rPr>
              <w:t>, 2012</w:t>
            </w:r>
          </w:p>
          <w:p w:rsidR="00880842" w:rsidRPr="00FA4D6C" w:rsidRDefault="00880842" w:rsidP="0088084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FA4D6C">
              <w:rPr>
                <w:rFonts w:eastAsia="SimSun"/>
                <w:b/>
                <w:sz w:val="16"/>
                <w:szCs w:val="16"/>
              </w:rPr>
              <w:t>Bibliografía complementaria.</w:t>
            </w:r>
          </w:p>
          <w:p w:rsidR="00B61B75" w:rsidRPr="00A12B80" w:rsidRDefault="00B61B75" w:rsidP="00B61B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1.- </w:t>
            </w:r>
            <w:r w:rsidR="00880842">
              <w:rPr>
                <w:color w:val="000000"/>
                <w:sz w:val="16"/>
                <w:szCs w:val="16"/>
              </w:rPr>
              <w:fldChar w:fldCharType="begin"/>
            </w:r>
            <w:r w:rsidR="00880842">
              <w:rPr>
                <w:color w:val="000000"/>
                <w:sz w:val="16"/>
                <w:szCs w:val="16"/>
              </w:rPr>
              <w:instrText xml:space="preserve"> ADDIN EN.CITE &lt;EndNote&gt;&lt;Cite&gt;&lt;Author&gt;Wilson&lt;/Author&gt;&lt;Year&gt;2007&lt;/Year&gt;&lt;RecNum&gt;23&lt;/RecNum&gt;&lt;DisplayText&gt;(Wilson et al., 2007)&lt;/DisplayText&gt;&lt;record&gt;&lt;rec-number&gt;23&lt;/rec-number&gt;&lt;foreign-keys&gt;&lt;key app="EN" db-id="5p2ad0dzmx05avewsduxrd58zwar50trda0e" timestamp="1479248547"&gt;23&lt;/key&gt;&lt;/foreign-keys&gt;&lt;ref-type name="Journal Article"&gt;17&lt;/ref-type&gt;&lt;contributors&gt;&lt;authors&gt;&lt;author&gt;Wilson, R Douglas&lt;/author&gt;&lt;author&gt;Désilets, Valerie&lt;/author&gt;&lt;author&gt;Wyatt, Philip&lt;/author&gt;&lt;author&gt;Langlois, Sylvie&lt;/author&gt;&lt;author&gt;Gagnon, Alain&lt;/author&gt;&lt;author&gt;Allen, Victoria&lt;/author&gt;&lt;author&gt;Blight, Claire&lt;/author&gt;&lt;author&gt;Johnson, Jo-Ann&lt;/author&gt;&lt;author&gt;Audibert, François&lt;/author&gt;&lt;author&gt;Brock, Jo-Ann&lt;/author&gt;&lt;/authors&gt;&lt;/contributors&gt;&lt;titles&gt;&lt;title&gt;Pre-conceptional vitamin/folic acid supplementation 2007: the use of folic acid in combination with a multivitamin supplement for the prevention of neural tube defects and other congenital anomalies&lt;/title&gt;&lt;secondary-title&gt;Journal of obstetrics and gynaecology Canada&lt;/secondary-title&gt;&lt;/titles&gt;&lt;periodical&gt;&lt;full-title&gt;Journal of obstetrics and gynaecology Canada&lt;/full-title&gt;&lt;/periodical&gt;&lt;pages&gt;1003-1013&lt;/pages&gt;&lt;volume&gt;29&lt;/volume&gt;&lt;number&gt;12&lt;/number&gt;&lt;dates&gt;&lt;year&gt;2007&lt;/year&gt;&lt;/dates&gt;&lt;isbn&gt;1701-2163&lt;/isbn&gt;&lt;urls&gt;&lt;/urls&gt;&lt;/record&gt;&lt;/Cite&gt;&lt;/EndNote&gt;</w:instrText>
            </w:r>
            <w:r w:rsidR="00880842">
              <w:rPr>
                <w:color w:val="000000"/>
                <w:sz w:val="16"/>
                <w:szCs w:val="16"/>
              </w:rPr>
              <w:fldChar w:fldCharType="separate"/>
            </w:r>
            <w:r w:rsidR="00880842">
              <w:rPr>
                <w:noProof/>
                <w:color w:val="000000"/>
                <w:sz w:val="16"/>
                <w:szCs w:val="16"/>
              </w:rPr>
              <w:t>(Wilson et al., 2007)</w:t>
            </w:r>
            <w:r w:rsidR="00880842">
              <w:rPr>
                <w:color w:val="000000"/>
                <w:sz w:val="16"/>
                <w:szCs w:val="16"/>
              </w:rPr>
              <w:fldChar w:fldCharType="end"/>
            </w:r>
          </w:p>
          <w:p w:rsidR="00B43F64" w:rsidRPr="00613160" w:rsidRDefault="00B43F64" w:rsidP="00B43F64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color w:val="000000"/>
                <w:sz w:val="16"/>
                <w:szCs w:val="16"/>
              </w:rPr>
            </w:pPr>
          </w:p>
          <w:p w:rsidR="007F1CB6" w:rsidRPr="003567A6" w:rsidRDefault="007F1CB6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7F1CB6" w:rsidRPr="006D348C" w:rsidTr="00BA6485">
        <w:trPr>
          <w:trHeight w:val="267"/>
        </w:trPr>
        <w:tc>
          <w:tcPr>
            <w:tcW w:w="1018" w:type="pct"/>
          </w:tcPr>
          <w:p w:rsidR="00B55A4F" w:rsidRDefault="00B55A4F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7F1CB6" w:rsidRPr="00844588" w:rsidRDefault="00DF674C" w:rsidP="003567A6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UNIDAD V </w:t>
            </w:r>
            <w:r w:rsidR="007F1CB6" w:rsidRPr="00924B90">
              <w:rPr>
                <w:b/>
                <w:sz w:val="20"/>
                <w:szCs w:val="20"/>
                <w:lang w:val="es-MX"/>
              </w:rPr>
              <w:t xml:space="preserve"> DIFERENCIACIÓN SEXUAL NORMAL Y SUS TRASTORNOS</w:t>
            </w:r>
          </w:p>
        </w:tc>
        <w:tc>
          <w:tcPr>
            <w:tcW w:w="2364" w:type="pct"/>
          </w:tcPr>
          <w:p w:rsidR="007F1CB6" w:rsidRPr="007E5B81" w:rsidRDefault="007F1CB6" w:rsidP="007F1CB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7E5B81">
              <w:rPr>
                <w:sz w:val="16"/>
                <w:szCs w:val="16"/>
                <w:lang w:val="es-MX"/>
              </w:rPr>
              <w:t xml:space="preserve">Criterios de sexo </w:t>
            </w:r>
          </w:p>
          <w:p w:rsidR="007F1CB6" w:rsidRPr="007E5B81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 w:rsidRPr="007E5B81">
              <w:rPr>
                <w:sz w:val="16"/>
                <w:szCs w:val="16"/>
                <w:lang w:val="es-MX"/>
              </w:rPr>
              <w:t xml:space="preserve">Proceso normal de la diferenciación sexual en humanos </w:t>
            </w:r>
          </w:p>
          <w:p w:rsidR="007F1CB6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Desordenes del desarrollo sexual</w:t>
            </w:r>
          </w:p>
          <w:p w:rsidR="007F1CB6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Desordenes del desarrollo sexual por anomalías cromosómicas</w:t>
            </w:r>
          </w:p>
          <w:p w:rsidR="007F1CB6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Desordenes del desarrollo gonadal</w:t>
            </w:r>
          </w:p>
          <w:p w:rsidR="007F1CB6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Desordenes en la síntesis o acción de los andrógenos.</w:t>
            </w:r>
          </w:p>
          <w:p w:rsidR="007F1CB6" w:rsidRPr="001547A2" w:rsidRDefault="007F1CB6" w:rsidP="001547A2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 w:rsidRPr="007E5B81">
              <w:rPr>
                <w:sz w:val="16"/>
                <w:szCs w:val="16"/>
                <w:lang w:val="es-MX"/>
              </w:rPr>
              <w:t>Reversión sexual XX</w:t>
            </w:r>
            <w:r w:rsidR="001547A2">
              <w:rPr>
                <w:sz w:val="16"/>
                <w:szCs w:val="16"/>
                <w:lang w:val="es-MX"/>
              </w:rPr>
              <w:t xml:space="preserve"> </w:t>
            </w:r>
            <w:r w:rsidRPr="007E5B81">
              <w:rPr>
                <w:sz w:val="16"/>
                <w:szCs w:val="16"/>
                <w:lang w:val="es-MX"/>
              </w:rPr>
              <w:t>(hombre)</w:t>
            </w:r>
            <w:r>
              <w:rPr>
                <w:sz w:val="16"/>
                <w:szCs w:val="16"/>
                <w:lang w:val="es-MX"/>
              </w:rPr>
              <w:t xml:space="preserve">, </w:t>
            </w:r>
            <w:r w:rsidR="001547A2">
              <w:rPr>
                <w:sz w:val="16"/>
                <w:szCs w:val="16"/>
                <w:lang w:val="es-MX"/>
              </w:rPr>
              <w:t xml:space="preserve"> y  </w:t>
            </w:r>
            <w:r w:rsidRPr="001547A2">
              <w:rPr>
                <w:sz w:val="16"/>
                <w:szCs w:val="16"/>
                <w:lang w:val="es-MX"/>
              </w:rPr>
              <w:t>XY (mujer)</w:t>
            </w:r>
          </w:p>
          <w:p w:rsidR="007F1CB6" w:rsidRPr="007E5B81" w:rsidRDefault="007F1CB6" w:rsidP="007F1CB6">
            <w:pPr>
              <w:numPr>
                <w:ilvl w:val="0"/>
                <w:numId w:val="16"/>
              </w:numPr>
              <w:rPr>
                <w:sz w:val="16"/>
                <w:szCs w:val="16"/>
                <w:lang w:val="es-MX"/>
              </w:rPr>
            </w:pPr>
            <w:r w:rsidRPr="007E5B81">
              <w:rPr>
                <w:sz w:val="16"/>
                <w:szCs w:val="16"/>
                <w:lang w:val="es-MX"/>
              </w:rPr>
              <w:t>46</w:t>
            </w:r>
            <w:r>
              <w:rPr>
                <w:sz w:val="16"/>
                <w:szCs w:val="16"/>
                <w:lang w:val="es-MX"/>
              </w:rPr>
              <w:t xml:space="preserve"> XY Disgenesia Gonadal completa.</w:t>
            </w:r>
          </w:p>
          <w:p w:rsidR="007F1CB6" w:rsidRPr="00ED4A00" w:rsidRDefault="007F1CB6" w:rsidP="007F1CB6">
            <w:pPr>
              <w:ind w:left="720"/>
              <w:rPr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B43F64" w:rsidRDefault="00B43F64" w:rsidP="005A1949">
            <w:pPr>
              <w:jc w:val="center"/>
              <w:rPr>
                <w:rFonts w:eastAsia="SimSun"/>
                <w:b/>
                <w:color w:val="808080"/>
                <w:sz w:val="16"/>
                <w:szCs w:val="16"/>
              </w:rPr>
            </w:pPr>
          </w:p>
          <w:p w:rsidR="002042DF" w:rsidRPr="00A12B80" w:rsidRDefault="002042DF" w:rsidP="00A12B80">
            <w:pPr>
              <w:pStyle w:val="Prrafodelista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2B80">
              <w:rPr>
                <w:rFonts w:eastAsia="SimSun"/>
                <w:i/>
                <w:noProof/>
                <w:sz w:val="16"/>
                <w:szCs w:val="16"/>
              </w:rPr>
              <w:t>Antología de la Materia de Clínica Genética</w:t>
            </w:r>
            <w:r w:rsidRPr="00A12B80">
              <w:rPr>
                <w:rFonts w:eastAsia="SimSun"/>
                <w:noProof/>
                <w:sz w:val="16"/>
                <w:szCs w:val="16"/>
              </w:rPr>
              <w:t>, 2012</w:t>
            </w:r>
          </w:p>
          <w:p w:rsidR="00A12B80" w:rsidRPr="00A12B80" w:rsidRDefault="00A12B80" w:rsidP="00A12B80">
            <w:pPr>
              <w:pStyle w:val="Prrafodelista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A12B80">
              <w:rPr>
                <w:rFonts w:eastAsia="SimSun"/>
                <w:noProof/>
                <w:sz w:val="16"/>
                <w:szCs w:val="16"/>
              </w:rPr>
              <w:t>Del Castillo Ruiz, Uranga Hernandez, y Zafra de la Rosa, 2012</w:t>
            </w:r>
          </w:p>
          <w:p w:rsidR="00880842" w:rsidRPr="00FA4D6C" w:rsidRDefault="00880842" w:rsidP="00880842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FA4D6C">
              <w:rPr>
                <w:rFonts w:eastAsia="SimSun"/>
                <w:b/>
                <w:sz w:val="16"/>
                <w:szCs w:val="16"/>
              </w:rPr>
              <w:t>Bibliografía complementaria.</w:t>
            </w:r>
          </w:p>
          <w:p w:rsidR="00B61B75" w:rsidRPr="00880842" w:rsidRDefault="00880842" w:rsidP="00880842">
            <w:pPr>
              <w:jc w:val="center"/>
              <w:rPr>
                <w:rFonts w:eastAsia="SimSun"/>
                <w:sz w:val="16"/>
                <w:szCs w:val="16"/>
              </w:rPr>
            </w:pPr>
            <w:r w:rsidRPr="00880842">
              <w:rPr>
                <w:rFonts w:eastAsia="SimSun"/>
                <w:sz w:val="16"/>
                <w:szCs w:val="16"/>
              </w:rPr>
              <w:t xml:space="preserve">1.- </w:t>
            </w:r>
            <w:r w:rsidRPr="00880842">
              <w:rPr>
                <w:rFonts w:eastAsia="SimSun"/>
                <w:sz w:val="16"/>
                <w:szCs w:val="16"/>
              </w:rPr>
              <w:fldChar w:fldCharType="begin"/>
            </w:r>
            <w:r w:rsidRPr="00880842">
              <w:rPr>
                <w:rFonts w:eastAsia="SimSun"/>
                <w:sz w:val="16"/>
                <w:szCs w:val="16"/>
              </w:rPr>
              <w:instrText xml:space="preserve"> ADDIN EN.CITE &lt;EndNote&gt;&lt;Cite&gt;&lt;Author&gt;Aaronson&lt;/Author&gt;&lt;Year&gt;2010&lt;/Year&gt;&lt;RecNum&gt;22&lt;/RecNum&gt;&lt;DisplayText&gt;(Aaronson &amp;amp; Aaronson, 2010)&lt;/DisplayText&gt;&lt;record&gt;&lt;rec-number&gt;22&lt;/rec-number&gt;&lt;foreign-keys&gt;&lt;key app="EN" db-id="5p2ad0dzmx05avewsduxrd58zwar50trda0e" timestamp="1479248352"&gt;22&lt;/key&gt;&lt;/foreign-keys&gt;&lt;ref-type name="Journal Article"&gt;17&lt;/ref-type&gt;&lt;contributors&gt;&lt;authors&gt;&lt;author&gt;Aaronson, Ian A&lt;/author&gt;&lt;author&gt;Aaronson, Alistair J&lt;/author&gt;&lt;/authors&gt;&lt;/contributors&gt;&lt;titles&gt;&lt;title&gt;How should we classify intersex disorders?&lt;/title&gt;&lt;secondary-title&gt;Journal of pediatric urology&lt;/secondary-title&gt;&lt;/titles&gt;&lt;periodical&gt;&lt;full-title&gt;Journal of pediatric urology&lt;/full-title&gt;&lt;/periodical&gt;&lt;pages&gt;443-446&lt;/pages&gt;&lt;volume&gt;6&lt;/volume&gt;&lt;number&gt;5&lt;/number&gt;&lt;dates&gt;&lt;year&gt;2010&lt;/year&gt;&lt;/dates&gt;&lt;isbn&gt;1477-5131&lt;/isbn&gt;&lt;urls&gt;&lt;/urls&gt;&lt;/record&gt;&lt;/Cite&gt;&lt;/EndNote&gt;</w:instrText>
            </w:r>
            <w:r w:rsidRPr="00880842">
              <w:rPr>
                <w:rFonts w:eastAsia="SimSun"/>
                <w:sz w:val="16"/>
                <w:szCs w:val="16"/>
              </w:rPr>
              <w:fldChar w:fldCharType="separate"/>
            </w:r>
            <w:r w:rsidRPr="00880842">
              <w:rPr>
                <w:rFonts w:eastAsia="SimSun"/>
                <w:noProof/>
                <w:sz w:val="16"/>
                <w:szCs w:val="16"/>
              </w:rPr>
              <w:t>(Aaronson &amp; Aaronson, 2010)</w:t>
            </w:r>
            <w:r w:rsidRPr="00880842">
              <w:rPr>
                <w:rFonts w:eastAsia="SimSun"/>
                <w:sz w:val="16"/>
                <w:szCs w:val="16"/>
              </w:rPr>
              <w:fldChar w:fldCharType="end"/>
            </w:r>
            <w:r w:rsidRPr="00880842">
              <w:rPr>
                <w:rFonts w:eastAsia="SimSun"/>
                <w:sz w:val="16"/>
                <w:szCs w:val="16"/>
              </w:rPr>
              <w:t xml:space="preserve"> </w:t>
            </w:r>
          </w:p>
        </w:tc>
      </w:tr>
      <w:tr w:rsidR="007F1CB6" w:rsidRPr="006D348C" w:rsidTr="00BA6485">
        <w:trPr>
          <w:trHeight w:val="267"/>
        </w:trPr>
        <w:tc>
          <w:tcPr>
            <w:tcW w:w="1018" w:type="pct"/>
          </w:tcPr>
          <w:p w:rsidR="00B55A4F" w:rsidRDefault="00B55A4F" w:rsidP="00DF674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DF674C" w:rsidRPr="00DF674C" w:rsidRDefault="00DF674C" w:rsidP="00DF674C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924B90">
              <w:rPr>
                <w:b/>
                <w:sz w:val="20"/>
                <w:szCs w:val="20"/>
                <w:lang w:val="es-MX"/>
              </w:rPr>
              <w:t>UNIDAD V</w:t>
            </w:r>
            <w:r>
              <w:rPr>
                <w:b/>
                <w:sz w:val="20"/>
                <w:szCs w:val="20"/>
                <w:lang w:val="es-MX"/>
              </w:rPr>
              <w:t>I</w:t>
            </w:r>
            <w:r w:rsidRPr="00924B90">
              <w:rPr>
                <w:b/>
                <w:sz w:val="20"/>
                <w:szCs w:val="20"/>
                <w:lang w:val="es-MX"/>
              </w:rPr>
              <w:t xml:space="preserve"> </w:t>
            </w:r>
            <w:r w:rsidR="0008671A">
              <w:rPr>
                <w:rFonts w:eastAsia="SimSun"/>
                <w:b/>
                <w:sz w:val="20"/>
                <w:szCs w:val="20"/>
              </w:rPr>
              <w:t>PATOLOGÍ</w:t>
            </w:r>
            <w:r w:rsidRPr="00DF674C">
              <w:rPr>
                <w:rFonts w:eastAsia="SimSun"/>
                <w:b/>
                <w:sz w:val="20"/>
                <w:szCs w:val="20"/>
              </w:rPr>
              <w:t xml:space="preserve">A DE HERENCIA </w:t>
            </w:r>
            <w:r w:rsidRPr="00DF674C">
              <w:rPr>
                <w:rFonts w:eastAsia="SimSun"/>
                <w:b/>
                <w:sz w:val="20"/>
                <w:szCs w:val="20"/>
              </w:rPr>
              <w:lastRenderedPageBreak/>
              <w:t>CLÁSICA Y NO CLÁSICA</w:t>
            </w:r>
          </w:p>
          <w:p w:rsidR="007F1CB6" w:rsidRPr="00924B90" w:rsidRDefault="0008671A" w:rsidP="00DF674C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rFonts w:eastAsia="SimSun"/>
                <w:b/>
                <w:sz w:val="20"/>
                <w:szCs w:val="20"/>
              </w:rPr>
              <w:t>Y TÉ</w:t>
            </w:r>
            <w:r w:rsidR="00DF674C" w:rsidRPr="00DF674C">
              <w:rPr>
                <w:rFonts w:eastAsia="SimSun"/>
                <w:b/>
                <w:sz w:val="20"/>
                <w:szCs w:val="20"/>
              </w:rPr>
              <w:t xml:space="preserve">CNICAS DE </w:t>
            </w:r>
            <w:r>
              <w:rPr>
                <w:rFonts w:eastAsia="SimSun"/>
                <w:b/>
                <w:sz w:val="20"/>
                <w:szCs w:val="20"/>
              </w:rPr>
              <w:t>MEDICINA GENÓ</w:t>
            </w:r>
            <w:r w:rsidR="00DF674C" w:rsidRPr="00DF674C">
              <w:rPr>
                <w:rFonts w:eastAsia="SimSun"/>
                <w:b/>
                <w:sz w:val="20"/>
                <w:szCs w:val="20"/>
              </w:rPr>
              <w:t>MICA</w:t>
            </w:r>
          </w:p>
        </w:tc>
        <w:tc>
          <w:tcPr>
            <w:tcW w:w="2364" w:type="pct"/>
          </w:tcPr>
          <w:p w:rsidR="00133804" w:rsidRPr="00510DBB" w:rsidRDefault="00133804" w:rsidP="00133804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lastRenderedPageBreak/>
              <w:t>Patologías con H</w:t>
            </w:r>
            <w:r w:rsidR="00E243BE" w:rsidRPr="00510DBB">
              <w:rPr>
                <w:rFonts w:eastAsia="SimSun"/>
                <w:sz w:val="16"/>
                <w:szCs w:val="16"/>
              </w:rPr>
              <w:t xml:space="preserve">erencia </w:t>
            </w:r>
            <w:r w:rsidRPr="00510DBB">
              <w:rPr>
                <w:rFonts w:eastAsia="SimSun"/>
                <w:sz w:val="16"/>
                <w:szCs w:val="16"/>
              </w:rPr>
              <w:t xml:space="preserve">Clásica y no Clásica. </w:t>
            </w:r>
          </w:p>
          <w:p w:rsidR="00E243BE" w:rsidRPr="00510DBB" w:rsidRDefault="00133804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t xml:space="preserve">Errores innatos del </w:t>
            </w:r>
            <w:r w:rsidR="00E243BE" w:rsidRPr="00510DBB">
              <w:rPr>
                <w:rFonts w:eastAsia="SimSun"/>
                <w:sz w:val="16"/>
                <w:szCs w:val="16"/>
              </w:rPr>
              <w:t>metabolismo</w:t>
            </w:r>
            <w:r w:rsidRPr="00510DBB">
              <w:rPr>
                <w:rFonts w:eastAsia="SimSun"/>
                <w:sz w:val="16"/>
                <w:szCs w:val="16"/>
              </w:rPr>
              <w:t>.</w:t>
            </w:r>
          </w:p>
          <w:p w:rsidR="00133804" w:rsidRPr="00510DBB" w:rsidRDefault="00133804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t>Patología de Herencia Mitocondrial.</w:t>
            </w:r>
          </w:p>
          <w:p w:rsidR="00E243BE" w:rsidRPr="00510DBB" w:rsidRDefault="00E243BE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t xml:space="preserve">Pruebas genómicas de diagnóstico </w:t>
            </w:r>
            <w:r w:rsidR="00133804" w:rsidRPr="00510DBB">
              <w:rPr>
                <w:rFonts w:eastAsia="SimSun"/>
                <w:sz w:val="16"/>
                <w:szCs w:val="16"/>
              </w:rPr>
              <w:t xml:space="preserve">clínico, </w:t>
            </w:r>
            <w:r w:rsidRPr="00510DBB">
              <w:rPr>
                <w:rFonts w:eastAsia="SimSun"/>
                <w:sz w:val="16"/>
                <w:szCs w:val="16"/>
              </w:rPr>
              <w:t>predictivo y preclínicas en embarazo</w:t>
            </w:r>
          </w:p>
          <w:p w:rsidR="00E243BE" w:rsidRPr="00510DBB" w:rsidRDefault="00E243BE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lastRenderedPageBreak/>
              <w:t>Polimorfismos genéticos y su uso diagnostico</w:t>
            </w:r>
            <w:r w:rsidR="00133804" w:rsidRPr="00510DBB">
              <w:rPr>
                <w:rFonts w:eastAsia="SimSun"/>
                <w:sz w:val="16"/>
                <w:szCs w:val="16"/>
              </w:rPr>
              <w:t>.</w:t>
            </w:r>
            <w:r w:rsidRPr="00510DBB">
              <w:rPr>
                <w:rFonts w:eastAsia="SimSun"/>
                <w:sz w:val="16"/>
                <w:szCs w:val="16"/>
              </w:rPr>
              <w:t xml:space="preserve"> </w:t>
            </w:r>
          </w:p>
          <w:p w:rsidR="00B32A17" w:rsidRPr="00510DBB" w:rsidRDefault="00B32A17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  <w:sz w:val="16"/>
                <w:szCs w:val="16"/>
              </w:rPr>
            </w:pPr>
            <w:r w:rsidRPr="00510DBB">
              <w:rPr>
                <w:rFonts w:eastAsia="SimSun"/>
                <w:sz w:val="16"/>
                <w:szCs w:val="16"/>
              </w:rPr>
              <w:t>Enfermedades por expansión de micro satélites y desórdenes genómicos.</w:t>
            </w:r>
          </w:p>
          <w:p w:rsidR="00E243BE" w:rsidRPr="00510DBB" w:rsidRDefault="00E243BE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</w:rPr>
            </w:pPr>
            <w:r w:rsidRPr="00510DBB">
              <w:rPr>
                <w:rFonts w:eastAsia="SimSun"/>
                <w:sz w:val="16"/>
                <w:szCs w:val="16"/>
              </w:rPr>
              <w:t>Farmacogenómica y su aplicación en el diseño de nuevas técnicas de tratamiento</w:t>
            </w:r>
            <w:r w:rsidR="00133804" w:rsidRPr="00510DBB">
              <w:rPr>
                <w:rFonts w:eastAsia="SimSun"/>
                <w:sz w:val="16"/>
                <w:szCs w:val="16"/>
              </w:rPr>
              <w:t>.</w:t>
            </w:r>
          </w:p>
          <w:p w:rsidR="00133804" w:rsidRPr="00510DBB" w:rsidRDefault="00133804" w:rsidP="00E243BE">
            <w:pPr>
              <w:pStyle w:val="Prrafodelista"/>
              <w:numPr>
                <w:ilvl w:val="0"/>
                <w:numId w:val="17"/>
              </w:numPr>
              <w:rPr>
                <w:rFonts w:eastAsia="SimSun"/>
              </w:rPr>
            </w:pPr>
            <w:r w:rsidRPr="00510DBB">
              <w:rPr>
                <w:rFonts w:eastAsia="SimSun"/>
                <w:sz w:val="16"/>
                <w:szCs w:val="16"/>
              </w:rPr>
              <w:t>Terapia Génica</w:t>
            </w:r>
          </w:p>
          <w:p w:rsidR="007F1CB6" w:rsidRPr="007E5B81" w:rsidRDefault="007F1CB6" w:rsidP="0008671A">
            <w:pPr>
              <w:pStyle w:val="NormalWeb"/>
              <w:spacing w:before="0" w:beforeAutospacing="0" w:after="0" w:afterAutospacing="0"/>
              <w:ind w:left="720"/>
              <w:outlineLvl w:val="0"/>
              <w:rPr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6B14D4" w:rsidRPr="00DD0FB4" w:rsidRDefault="006B14D4" w:rsidP="006B14D4">
            <w:pPr>
              <w:rPr>
                <w:rFonts w:eastAsia="SimSun"/>
                <w:b/>
                <w:sz w:val="16"/>
                <w:szCs w:val="16"/>
              </w:rPr>
            </w:pPr>
            <w:r w:rsidRPr="00DD0FB4">
              <w:rPr>
                <w:rFonts w:eastAsia="SimSun"/>
                <w:b/>
                <w:sz w:val="16"/>
                <w:szCs w:val="16"/>
              </w:rPr>
              <w:lastRenderedPageBreak/>
              <w:t>BIBLOGRAFÍA BÁSICA: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b/>
                <w:sz w:val="16"/>
                <w:szCs w:val="16"/>
              </w:rPr>
              <w:t>1</w:t>
            </w:r>
            <w:r w:rsidRPr="00DD0FB4">
              <w:rPr>
                <w:rFonts w:eastAsia="SimSun"/>
                <w:sz w:val="16"/>
                <w:szCs w:val="16"/>
              </w:rPr>
              <w:t>.-</w:t>
            </w:r>
            <w:r w:rsidRPr="00DD0FB4">
              <w:rPr>
                <w:rFonts w:eastAsia="SimSun"/>
                <w:i/>
                <w:noProof/>
                <w:sz w:val="16"/>
                <w:szCs w:val="16"/>
              </w:rPr>
              <w:t>Antología de la Materia de Clínica Genética</w:t>
            </w:r>
            <w:r w:rsidRPr="00DD0FB4">
              <w:rPr>
                <w:rFonts w:eastAsia="SimSun"/>
                <w:noProof/>
                <w:sz w:val="16"/>
                <w:szCs w:val="16"/>
              </w:rPr>
              <w:t>, 2012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b/>
                <w:sz w:val="16"/>
                <w:szCs w:val="16"/>
              </w:rPr>
              <w:t>2</w:t>
            </w:r>
            <w:r w:rsidRPr="00DD0FB4">
              <w:rPr>
                <w:rFonts w:eastAsia="SimSun"/>
                <w:sz w:val="16"/>
                <w:szCs w:val="16"/>
              </w:rPr>
              <w:t>.-</w:t>
            </w:r>
            <w:r w:rsidRPr="00DD0FB4">
              <w:rPr>
                <w:rFonts w:eastAsia="SimSun"/>
                <w:noProof/>
                <w:sz w:val="16"/>
                <w:szCs w:val="16"/>
              </w:rPr>
              <w:t>Del Castillo Ruiz, Uranga Hernandez, y Zafra de la Rosa, 2012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b/>
                <w:sz w:val="16"/>
                <w:szCs w:val="16"/>
              </w:rPr>
              <w:lastRenderedPageBreak/>
              <w:t>3</w:t>
            </w:r>
            <w:r w:rsidRPr="00DD0FB4">
              <w:rPr>
                <w:rFonts w:eastAsia="SimSun"/>
                <w:sz w:val="16"/>
                <w:szCs w:val="16"/>
              </w:rPr>
              <w:t xml:space="preserve">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Yourkowitzky Lisker, Dehesa, y González, 2013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</w:p>
          <w:p w:rsidR="006B14D4" w:rsidRPr="00DD0FB4" w:rsidRDefault="006B14D4" w:rsidP="006B14D4">
            <w:pPr>
              <w:rPr>
                <w:rFonts w:eastAsia="SimSun"/>
                <w:b/>
                <w:sz w:val="16"/>
                <w:szCs w:val="16"/>
              </w:rPr>
            </w:pPr>
            <w:r w:rsidRPr="00DD0FB4">
              <w:rPr>
                <w:rFonts w:eastAsia="SimSun"/>
                <w:b/>
                <w:sz w:val="16"/>
                <w:szCs w:val="16"/>
              </w:rPr>
              <w:t xml:space="preserve">BIBLIOGRAFÍA COMPLEMENTARIA: 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1.-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Milunsky y Milunsky, 2015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2.-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Leung et al., 2008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3.-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Caine et al., 2005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4.-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Saito, Sekizawa, Morimoto, Suzuki, y Yanaihara, 2000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5.-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Belloso y Redal, 2010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6.-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Zimmermann et al., 2012</w:t>
            </w:r>
          </w:p>
          <w:p w:rsidR="006B14D4" w:rsidRPr="00DD0FB4" w:rsidRDefault="006B14D4" w:rsidP="006B14D4">
            <w:pPr>
              <w:rPr>
                <w:rFonts w:eastAsia="SimSun"/>
                <w:sz w:val="16"/>
                <w:szCs w:val="16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7.-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Lisker, 2004</w:t>
            </w:r>
          </w:p>
          <w:p w:rsidR="007F1CB6" w:rsidRPr="003567A6" w:rsidRDefault="006B14D4" w:rsidP="006B14D4">
            <w:pPr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DD0FB4">
              <w:rPr>
                <w:rFonts w:eastAsia="SimSun"/>
                <w:sz w:val="16"/>
                <w:szCs w:val="16"/>
              </w:rPr>
              <w:t xml:space="preserve">8.- </w:t>
            </w:r>
            <w:r w:rsidRPr="00DD0FB4">
              <w:rPr>
                <w:rFonts w:eastAsia="SimSun"/>
                <w:noProof/>
                <w:sz w:val="16"/>
                <w:szCs w:val="16"/>
              </w:rPr>
              <w:t>Venter et al., 2001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lastRenderedPageBreak/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B52F17" w:rsidRPr="00880842" w:rsidRDefault="00B52F17" w:rsidP="00B52F17">
      <w:pPr>
        <w:pStyle w:val="EndNoteBibliography"/>
        <w:ind w:left="720" w:hanging="720"/>
      </w:pPr>
      <w:bookmarkStart w:id="1" w:name="_ENREF_1"/>
      <w:r w:rsidRPr="00880842">
        <w:t xml:space="preserve">Aaronson, I. A., &amp; Aaronson, A. J. (2010). How should we classify intersex disorders? </w:t>
      </w:r>
      <w:r w:rsidRPr="00880842">
        <w:rPr>
          <w:i/>
        </w:rPr>
        <w:t>Journal of pediatric urology, 6</w:t>
      </w:r>
      <w:r w:rsidRPr="00880842">
        <w:t xml:space="preserve">(5), 443-446. </w:t>
      </w:r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r w:rsidRPr="003C6C8A">
        <w:rPr>
          <w:rFonts w:ascii="Arial" w:hAnsi="Arial" w:cs="Arial"/>
          <w:noProof/>
          <w:sz w:val="22"/>
        </w:rPr>
        <w:t>Antología de la Materia de Clínica Genética. (2012). Puebla, Mexico.</w:t>
      </w:r>
      <w:bookmarkEnd w:id="1"/>
    </w:p>
    <w:p w:rsidR="00D85529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  <w:lang w:val="en-US"/>
        </w:rPr>
      </w:pPr>
      <w:bookmarkStart w:id="2" w:name="_ENREF_2"/>
      <w:r w:rsidRPr="003C6C8A">
        <w:rPr>
          <w:rFonts w:ascii="Arial" w:hAnsi="Arial" w:cs="Arial"/>
          <w:noProof/>
          <w:sz w:val="22"/>
        </w:rPr>
        <w:t xml:space="preserve">Belloso, Waldo H, y  Redal, María A. (2010). La farmacogenómica y el camino hacia la medicina personalizada. </w:t>
      </w:r>
      <w:r w:rsidRPr="003C6C8A">
        <w:rPr>
          <w:rFonts w:ascii="Arial" w:hAnsi="Arial" w:cs="Arial"/>
          <w:i/>
          <w:noProof/>
          <w:sz w:val="22"/>
          <w:lang w:val="en-US"/>
        </w:rPr>
        <w:t>Medicina (Buenos Aires), 70</w:t>
      </w:r>
      <w:r w:rsidRPr="003C6C8A">
        <w:rPr>
          <w:rFonts w:ascii="Arial" w:hAnsi="Arial" w:cs="Arial"/>
          <w:noProof/>
          <w:sz w:val="22"/>
          <w:lang w:val="en-US"/>
        </w:rPr>
        <w:t xml:space="preserve"> (3), 265-274. </w:t>
      </w:r>
      <w:bookmarkEnd w:id="2"/>
    </w:p>
    <w:p w:rsidR="00297367" w:rsidRPr="003C6C8A" w:rsidRDefault="00297367" w:rsidP="00D85529">
      <w:pPr>
        <w:ind w:left="720" w:hanging="720"/>
        <w:jc w:val="both"/>
        <w:rPr>
          <w:rFonts w:ascii="Arial" w:hAnsi="Arial" w:cs="Arial"/>
          <w:noProof/>
          <w:sz w:val="22"/>
          <w:lang w:val="en-US"/>
        </w:rPr>
      </w:pPr>
      <w:r w:rsidRPr="00297367">
        <w:rPr>
          <w:rFonts w:ascii="Arial" w:hAnsi="Arial" w:cs="Arial"/>
          <w:noProof/>
          <w:sz w:val="22"/>
        </w:rPr>
        <w:t xml:space="preserve">Bradley Schaefer G, JN Thompson. </w:t>
      </w:r>
      <w:r>
        <w:rPr>
          <w:rFonts w:ascii="Arial" w:hAnsi="Arial" w:cs="Arial"/>
          <w:noProof/>
          <w:sz w:val="22"/>
        </w:rPr>
        <w:t>(2016). Genética Medica. Un enfoque integrado. México  . McGraw Hill.</w:t>
      </w:r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bookmarkStart w:id="3" w:name="_ENREF_3"/>
      <w:r w:rsidRPr="003C6C8A">
        <w:rPr>
          <w:rFonts w:ascii="Arial" w:hAnsi="Arial" w:cs="Arial"/>
          <w:noProof/>
          <w:sz w:val="22"/>
          <w:lang w:val="en-US"/>
        </w:rPr>
        <w:t xml:space="preserve">Caine, Allan, Maltby, A Edna, Parkin, C Anthony, Waters, Jonathan J, Crolla, John A, y  Cytogeneticists, UK Association of Clinical. (2005). Prenatal detection of Down's syndrome by rapid aneuploidy testing for chromosomes 13, 18, and 21 by FISH or PCR without a full karyotype: a cytogenetic risk assessment. </w:t>
      </w:r>
      <w:r w:rsidRPr="003C6C8A">
        <w:rPr>
          <w:rFonts w:ascii="Arial" w:hAnsi="Arial" w:cs="Arial"/>
          <w:i/>
          <w:noProof/>
          <w:sz w:val="22"/>
        </w:rPr>
        <w:t>The Lancet, 366</w:t>
      </w:r>
      <w:r w:rsidRPr="003C6C8A">
        <w:rPr>
          <w:rFonts w:ascii="Arial" w:hAnsi="Arial" w:cs="Arial"/>
          <w:noProof/>
          <w:sz w:val="22"/>
        </w:rPr>
        <w:t xml:space="preserve"> (9480), 123-128. </w:t>
      </w:r>
      <w:bookmarkEnd w:id="3"/>
    </w:p>
    <w:p w:rsidR="00B52F17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bookmarkStart w:id="4" w:name="_ENREF_4"/>
      <w:r w:rsidRPr="003C6C8A">
        <w:rPr>
          <w:rFonts w:ascii="Arial" w:hAnsi="Arial" w:cs="Arial"/>
          <w:noProof/>
          <w:sz w:val="22"/>
        </w:rPr>
        <w:t xml:space="preserve">Del Castillo Ruiz, Victoria, Uranga Hernandez, Rafael D, y  Zafra de la Rosa, Gildardo. (2012). </w:t>
      </w:r>
      <w:r w:rsidRPr="003C6C8A">
        <w:rPr>
          <w:rFonts w:ascii="Arial" w:hAnsi="Arial" w:cs="Arial"/>
          <w:i/>
          <w:noProof/>
          <w:sz w:val="22"/>
        </w:rPr>
        <w:t>Genetica Clinica</w:t>
      </w:r>
      <w:r w:rsidRPr="003C6C8A">
        <w:rPr>
          <w:rFonts w:ascii="Arial" w:hAnsi="Arial" w:cs="Arial"/>
          <w:noProof/>
          <w:sz w:val="22"/>
        </w:rPr>
        <w:t>. México, D.F.: Manual Moderno.</w:t>
      </w:r>
      <w:bookmarkEnd w:id="4"/>
      <w:r w:rsidR="00B52F17">
        <w:rPr>
          <w:rFonts w:ascii="Arial" w:hAnsi="Arial" w:cs="Arial"/>
          <w:noProof/>
          <w:sz w:val="22"/>
        </w:rPr>
        <w:t xml:space="preserve"> </w:t>
      </w:r>
    </w:p>
    <w:p w:rsidR="00D85529" w:rsidRPr="003C6C8A" w:rsidRDefault="00B52F17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r w:rsidRPr="00880842">
        <w:rPr>
          <w:noProof/>
        </w:rPr>
        <w:t xml:space="preserve">Hennekam, R. C., Biesecker, L. G., Allanson, J. E., Hall, J. G., Opitz, J. M., Temple, I. K., &amp; Carey, J. C. (2013). Elements of morphology: general terms for congenital anomalies. </w:t>
      </w:r>
      <w:r w:rsidRPr="00880842">
        <w:rPr>
          <w:i/>
          <w:noProof/>
        </w:rPr>
        <w:t>American Journal of Medical Genetics Part A, 161</w:t>
      </w:r>
      <w:r w:rsidRPr="00880842">
        <w:rPr>
          <w:noProof/>
        </w:rPr>
        <w:t>(11), 2726-2733.</w:t>
      </w:r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bookmarkStart w:id="5" w:name="_ENREF_5"/>
      <w:r w:rsidRPr="003C6C8A">
        <w:rPr>
          <w:rFonts w:ascii="Arial" w:hAnsi="Arial" w:cs="Arial"/>
          <w:noProof/>
          <w:sz w:val="22"/>
        </w:rPr>
        <w:t xml:space="preserve">Leung, WC, Lau, ET, Lau, WL, Tang, R, Wong, SF, Lau, TK, Tse, KT, To, WK, Ng, Lucy KL, y  Lao, TT. </w:t>
      </w:r>
      <w:r w:rsidRPr="003C6C8A">
        <w:rPr>
          <w:rFonts w:ascii="Arial" w:hAnsi="Arial" w:cs="Arial"/>
          <w:noProof/>
          <w:sz w:val="22"/>
          <w:lang w:val="en-US"/>
        </w:rPr>
        <w:t xml:space="preserve">(2008). Rapid aneuploidy testing (knowing less) versus traditional karyotyping (knowing more) for advanced maternal age: what would be missed, who should decide? </w:t>
      </w:r>
      <w:r w:rsidRPr="003C6C8A">
        <w:rPr>
          <w:rFonts w:ascii="Arial" w:hAnsi="Arial" w:cs="Arial"/>
          <w:i/>
          <w:noProof/>
          <w:sz w:val="22"/>
        </w:rPr>
        <w:t>Hong Kong Medical Journal</w:t>
      </w:r>
      <w:r w:rsidRPr="003C6C8A">
        <w:rPr>
          <w:rFonts w:ascii="Arial" w:hAnsi="Arial" w:cs="Arial"/>
          <w:noProof/>
          <w:sz w:val="22"/>
        </w:rPr>
        <w:t xml:space="preserve">. </w:t>
      </w:r>
      <w:bookmarkEnd w:id="5"/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  <w:lang w:val="en-US"/>
        </w:rPr>
      </w:pPr>
      <w:bookmarkStart w:id="6" w:name="_ENREF_6"/>
      <w:r w:rsidRPr="003C6C8A">
        <w:rPr>
          <w:rFonts w:ascii="Arial" w:hAnsi="Arial" w:cs="Arial"/>
          <w:noProof/>
          <w:sz w:val="22"/>
        </w:rPr>
        <w:t xml:space="preserve">Lisker, Rubén. (2004). Medicina genómica, mitos y realidades. </w:t>
      </w:r>
      <w:r w:rsidRPr="003C6C8A">
        <w:rPr>
          <w:rFonts w:ascii="Arial" w:hAnsi="Arial" w:cs="Arial"/>
          <w:i/>
          <w:noProof/>
          <w:sz w:val="22"/>
          <w:lang w:val="en-US"/>
        </w:rPr>
        <w:t>Rev Invest Clin, 56</w:t>
      </w:r>
      <w:r w:rsidRPr="003C6C8A">
        <w:rPr>
          <w:rFonts w:ascii="Arial" w:hAnsi="Arial" w:cs="Arial"/>
          <w:noProof/>
          <w:sz w:val="22"/>
          <w:lang w:val="en-US"/>
        </w:rPr>
        <w:t xml:space="preserve"> (4), 554-560. </w:t>
      </w:r>
      <w:bookmarkEnd w:id="6"/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  <w:lang w:val="en-US"/>
        </w:rPr>
      </w:pPr>
      <w:bookmarkStart w:id="7" w:name="_ENREF_7"/>
      <w:r w:rsidRPr="003C6C8A">
        <w:rPr>
          <w:rFonts w:ascii="Arial" w:hAnsi="Arial" w:cs="Arial"/>
          <w:noProof/>
          <w:sz w:val="22"/>
          <w:lang w:val="en-US"/>
        </w:rPr>
        <w:t xml:space="preserve">Milunsky, Aubrey, y  Milunsky, Jeff M. (2015). </w:t>
      </w:r>
      <w:r w:rsidRPr="003C6C8A">
        <w:rPr>
          <w:rFonts w:ascii="Arial" w:hAnsi="Arial" w:cs="Arial"/>
          <w:i/>
          <w:noProof/>
          <w:sz w:val="22"/>
          <w:lang w:val="en-US"/>
        </w:rPr>
        <w:t>Genetic disorders and the fetus: diagnosis, prevention, and treatment</w:t>
      </w:r>
      <w:r w:rsidRPr="003C6C8A">
        <w:rPr>
          <w:rFonts w:ascii="Arial" w:hAnsi="Arial" w:cs="Arial"/>
          <w:noProof/>
          <w:sz w:val="22"/>
          <w:lang w:val="en-US"/>
        </w:rPr>
        <w:t>: John Wiley &amp; Sons.</w:t>
      </w:r>
      <w:bookmarkEnd w:id="7"/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  <w:lang w:val="en-US"/>
        </w:rPr>
      </w:pPr>
      <w:bookmarkStart w:id="8" w:name="_ENREF_8"/>
      <w:r w:rsidRPr="003C6C8A">
        <w:rPr>
          <w:rFonts w:ascii="Arial" w:hAnsi="Arial" w:cs="Arial"/>
          <w:noProof/>
          <w:sz w:val="22"/>
        </w:rPr>
        <w:t xml:space="preserve">Saito, Hiroshi, Sekizawa, Akihiko, Morimoto, Taro, Suzuki, Makoto, y  Yanaihara, Takumi. </w:t>
      </w:r>
      <w:r w:rsidRPr="003C6C8A">
        <w:rPr>
          <w:rFonts w:ascii="Arial" w:hAnsi="Arial" w:cs="Arial"/>
          <w:noProof/>
          <w:sz w:val="22"/>
          <w:lang w:val="en-US"/>
        </w:rPr>
        <w:t xml:space="preserve">(2000). Prenatal DNA diagnosis of a single-gene disorder from maternal plasma. </w:t>
      </w:r>
      <w:r w:rsidRPr="003C6C8A">
        <w:rPr>
          <w:rFonts w:ascii="Arial" w:hAnsi="Arial" w:cs="Arial"/>
          <w:i/>
          <w:noProof/>
          <w:sz w:val="22"/>
          <w:lang w:val="en-US"/>
        </w:rPr>
        <w:t>The Lancet, 356</w:t>
      </w:r>
      <w:r w:rsidRPr="003C6C8A">
        <w:rPr>
          <w:rFonts w:ascii="Arial" w:hAnsi="Arial" w:cs="Arial"/>
          <w:noProof/>
          <w:sz w:val="22"/>
          <w:lang w:val="en-US"/>
        </w:rPr>
        <w:t xml:space="preserve"> (9236), 1170. </w:t>
      </w:r>
      <w:bookmarkEnd w:id="8"/>
    </w:p>
    <w:p w:rsidR="00B52F17" w:rsidRDefault="00D85529" w:rsidP="00B52F17">
      <w:pPr>
        <w:pStyle w:val="EndNoteBibliography"/>
        <w:ind w:left="720" w:hanging="720"/>
        <w:rPr>
          <w:rFonts w:ascii="Arial" w:hAnsi="Arial" w:cs="Arial"/>
          <w:sz w:val="22"/>
          <w:lang w:val="en-US"/>
        </w:rPr>
      </w:pPr>
      <w:bookmarkStart w:id="9" w:name="_ENREF_9"/>
      <w:r w:rsidRPr="003C6C8A">
        <w:rPr>
          <w:rFonts w:ascii="Arial" w:hAnsi="Arial" w:cs="Arial"/>
          <w:sz w:val="22"/>
          <w:lang w:val="en-US"/>
        </w:rPr>
        <w:t xml:space="preserve">Venter, J Craig, Adams, Mark D, Myers, Eugene W, Li, Peter W, Mural, Richard J, Sutton, Granger G, Smith, Hamilton O, Yandell, Mark, Evans, Cheryl A, y  Holt, Robert A. (2001). The sequence of the human genome. </w:t>
      </w:r>
      <w:r w:rsidRPr="003C6C8A">
        <w:rPr>
          <w:rFonts w:ascii="Arial" w:hAnsi="Arial" w:cs="Arial"/>
          <w:i/>
          <w:sz w:val="22"/>
          <w:lang w:val="en-US"/>
        </w:rPr>
        <w:t>science, 291</w:t>
      </w:r>
      <w:r w:rsidRPr="003C6C8A">
        <w:rPr>
          <w:rFonts w:ascii="Arial" w:hAnsi="Arial" w:cs="Arial"/>
          <w:sz w:val="22"/>
          <w:lang w:val="en-US"/>
        </w:rPr>
        <w:t xml:space="preserve"> (5507), 1304-1351. </w:t>
      </w:r>
      <w:bookmarkEnd w:id="9"/>
      <w:r w:rsidR="00B52F17">
        <w:rPr>
          <w:rFonts w:ascii="Arial" w:hAnsi="Arial" w:cs="Arial"/>
          <w:sz w:val="22"/>
          <w:lang w:val="en-US"/>
        </w:rPr>
        <w:t xml:space="preserve"> </w:t>
      </w:r>
    </w:p>
    <w:p w:rsidR="00B52F17" w:rsidRDefault="00B52F17" w:rsidP="00B52F17">
      <w:pPr>
        <w:pStyle w:val="EndNoteBibliography"/>
        <w:ind w:left="720" w:hanging="720"/>
      </w:pPr>
      <w:r w:rsidRPr="00880842">
        <w:t xml:space="preserve">Wiener-Megnazi, Z., Auslender, R., &amp; Dirnfeld, M. (2012). Advanced paternal age and reproductive outcome. </w:t>
      </w:r>
      <w:r w:rsidRPr="00880842">
        <w:rPr>
          <w:i/>
        </w:rPr>
        <w:t>Asian J Androl, 14</w:t>
      </w:r>
      <w:r w:rsidRPr="00880842">
        <w:t xml:space="preserve">(1), 69-76. </w:t>
      </w:r>
      <w:r>
        <w:t xml:space="preserve">  </w:t>
      </w:r>
    </w:p>
    <w:p w:rsidR="00B52F17" w:rsidRPr="00880842" w:rsidRDefault="00B52F17" w:rsidP="00B52F17">
      <w:pPr>
        <w:pStyle w:val="EndNoteBibliography"/>
        <w:ind w:left="720" w:hanging="720"/>
      </w:pPr>
      <w:r w:rsidRPr="00880842">
        <w:t xml:space="preserve">Wilson, R. D., Désilets, V., Wyatt, P., Langlois, S., Gagnon, A., Allen, V., . . . Brock, J.-A. (2007). Pre-conceptional vitamin/folic acid supplementation 2007: the use of folic acid in combination </w:t>
      </w:r>
      <w:r w:rsidRPr="00880842">
        <w:lastRenderedPageBreak/>
        <w:t xml:space="preserve">with a multivitamin supplement for the prevention of neural tube defects and other congenital anomalies. </w:t>
      </w:r>
      <w:r w:rsidRPr="00880842">
        <w:rPr>
          <w:i/>
        </w:rPr>
        <w:t>Journal of obstetrics and gynaecology Canada, 29</w:t>
      </w:r>
      <w:r w:rsidRPr="00880842">
        <w:t>(12), 1003-1013.</w:t>
      </w:r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bookmarkStart w:id="10" w:name="_ENREF_10"/>
      <w:r w:rsidRPr="003C6C8A">
        <w:rPr>
          <w:rFonts w:ascii="Arial" w:hAnsi="Arial" w:cs="Arial"/>
          <w:noProof/>
          <w:sz w:val="22"/>
          <w:lang w:val="en-US"/>
        </w:rPr>
        <w:t xml:space="preserve">Yourkowitzky, Rubén Lisker, Dehesa, Alejandro Zentella, y  González, Patricia Grether. </w:t>
      </w:r>
      <w:r w:rsidRPr="003C6C8A">
        <w:rPr>
          <w:rFonts w:ascii="Arial" w:hAnsi="Arial" w:cs="Arial"/>
          <w:noProof/>
          <w:sz w:val="22"/>
        </w:rPr>
        <w:t xml:space="preserve">(2013). </w:t>
      </w:r>
      <w:r w:rsidRPr="003C6C8A">
        <w:rPr>
          <w:rFonts w:ascii="Arial" w:hAnsi="Arial" w:cs="Arial"/>
          <w:i/>
          <w:noProof/>
          <w:sz w:val="22"/>
        </w:rPr>
        <w:t>Introducción a la genética humana</w:t>
      </w:r>
      <w:r w:rsidRPr="003C6C8A">
        <w:rPr>
          <w:rFonts w:ascii="Arial" w:hAnsi="Arial" w:cs="Arial"/>
          <w:noProof/>
          <w:sz w:val="22"/>
        </w:rPr>
        <w:t>. Mexico, D.F: Editorial El Manual Moderno.</w:t>
      </w:r>
      <w:bookmarkEnd w:id="10"/>
    </w:p>
    <w:p w:rsidR="00D85529" w:rsidRPr="003C6C8A" w:rsidRDefault="00D85529" w:rsidP="00D85529">
      <w:pPr>
        <w:ind w:left="720" w:hanging="720"/>
        <w:jc w:val="both"/>
        <w:rPr>
          <w:rFonts w:ascii="Arial" w:hAnsi="Arial" w:cs="Arial"/>
          <w:noProof/>
          <w:sz w:val="22"/>
        </w:rPr>
      </w:pPr>
      <w:bookmarkStart w:id="11" w:name="_ENREF_11"/>
      <w:r w:rsidRPr="003C6C8A">
        <w:rPr>
          <w:rFonts w:ascii="Arial" w:hAnsi="Arial" w:cs="Arial"/>
          <w:noProof/>
          <w:sz w:val="22"/>
        </w:rPr>
        <w:t xml:space="preserve">Zimmermann, Bernhard, Hill, Matthew, Gemelos, George, Demko, Zachary, Banjevic, Milena, Baner, Johan, Ryan, Allison, Sigurjonsson, Styrmir, Chopra, Nikhil, y  Dodd, Michael. </w:t>
      </w:r>
      <w:r w:rsidRPr="003C6C8A">
        <w:rPr>
          <w:rFonts w:ascii="Arial" w:hAnsi="Arial" w:cs="Arial"/>
          <w:noProof/>
          <w:sz w:val="22"/>
          <w:lang w:val="en-US"/>
        </w:rPr>
        <w:t xml:space="preserve">(2012). Noninvasive prenatal aneuploidy testing of chromosomes 13, 18, 21, X, and Y, using targeted sequencing of polymorphic loci. </w:t>
      </w:r>
      <w:r w:rsidRPr="003C6C8A">
        <w:rPr>
          <w:rFonts w:ascii="Arial" w:hAnsi="Arial" w:cs="Arial"/>
          <w:i/>
          <w:noProof/>
          <w:sz w:val="22"/>
        </w:rPr>
        <w:t>Prenatal diagnosis, 32</w:t>
      </w:r>
      <w:r w:rsidRPr="003C6C8A">
        <w:rPr>
          <w:rFonts w:ascii="Arial" w:hAnsi="Arial" w:cs="Arial"/>
          <w:noProof/>
          <w:sz w:val="22"/>
        </w:rPr>
        <w:t xml:space="preserve"> (13), 1233-1241. </w:t>
      </w:r>
      <w:bookmarkEnd w:id="11"/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Método de casos</w:t>
            </w:r>
          </w:p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Grupos de discusión</w:t>
            </w:r>
          </w:p>
          <w:p w:rsidR="00161FA5" w:rsidRPr="002042DF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Aprendizaje Basado en Problemas</w:t>
            </w:r>
          </w:p>
          <w:p w:rsidR="00E3133A" w:rsidRPr="002042DF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Pr="002042DF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</w:pPr>
            <w:r w:rsidRPr="002042DF">
              <w:rPr>
                <w:rFonts w:ascii="Arial" w:hAnsi="Arial" w:cs="Arial"/>
                <w:b/>
                <w:i/>
                <w:iCs/>
                <w:sz w:val="22"/>
                <w:szCs w:val="22"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2042DF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2042DF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2042DF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2042DF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Imáge</w:t>
            </w:r>
            <w:r w:rsidR="00F61318"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nes fijas proyectables (fotos)-</w:t>
            </w: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diapositivas, fotografías</w:t>
            </w:r>
          </w:p>
          <w:p w:rsidR="00161FA5" w:rsidRPr="002042DF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2042DF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976E42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976E42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</w:pPr>
            <w:r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Programas informáticos (CD u on</w:t>
            </w:r>
            <w:r w:rsidR="00F61318"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-line) educativos: videojuegos</w:t>
            </w:r>
            <w:r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P</w:t>
            </w:r>
            <w:r w:rsidR="00161FA5" w:rsidRPr="00976E42">
              <w:rPr>
                <w:rFonts w:ascii="Arial" w:eastAsia="SimSun" w:hAnsi="Arial" w:cs="Arial"/>
                <w:b/>
                <w:i/>
                <w:sz w:val="22"/>
                <w:szCs w:val="22"/>
                <w:u w:val="dotted"/>
              </w:rPr>
              <w:t>áginas Web, Weblog, tours virtuales, webquest,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976E42" w:rsidRPr="00B43F64" w:rsidRDefault="00976E42" w:rsidP="00976E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6"/>
                <w:szCs w:val="16"/>
              </w:rPr>
            </w:pPr>
          </w:p>
          <w:p w:rsidR="00D34D54" w:rsidRPr="007417F2" w:rsidRDefault="00976E42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Desarrollo de las capacidades éticas de la medicina.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976E42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Los alumnos logran la habilidad de buscar 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información </w:t>
            </w:r>
            <w:r>
              <w:rPr>
                <w:rFonts w:ascii="Arial" w:eastAsia="SimSun" w:hAnsi="Arial"/>
                <w:bCs/>
                <w:lang w:val="es-MX"/>
              </w:rPr>
              <w:t>en bases de datos genéticas. Así mismo el manejo de la base PubMed para búsqueda de artículos científicos así como otras. Scopus, latín index.  Utilizará algunas herramientas de laboratorio virtual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976E42" w:rsidP="00FD1FB8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Analizan y sug</w:t>
            </w:r>
            <w:r w:rsidR="00FD1FB8">
              <w:rPr>
                <w:rFonts w:ascii="Arial" w:eastAsia="SimSun" w:hAnsi="Arial"/>
                <w:bCs/>
                <w:lang w:val="es-MX"/>
              </w:rPr>
              <w:t>ieren</w:t>
            </w:r>
            <w:r>
              <w:rPr>
                <w:rFonts w:ascii="Arial" w:eastAsia="SimSun" w:hAnsi="Arial"/>
                <w:bCs/>
                <w:lang w:val="es-MX"/>
              </w:rPr>
              <w:t xml:space="preserve"> diagnóstico clínico, citogenético  y molecular en casos de medicina clínica genética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976E42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Los </w:t>
            </w:r>
            <w:r w:rsidR="00C35E35">
              <w:rPr>
                <w:rFonts w:ascii="Arial" w:eastAsia="SimSun" w:hAnsi="Arial"/>
                <w:bCs/>
                <w:lang w:val="es-MX"/>
              </w:rPr>
              <w:t>alumnos leen y presentan</w:t>
            </w:r>
            <w:r>
              <w:rPr>
                <w:rFonts w:ascii="Arial" w:eastAsia="SimSun" w:hAnsi="Arial"/>
                <w:bCs/>
                <w:lang w:val="es-MX"/>
              </w:rPr>
              <w:t xml:space="preserve"> artículos de casos clínicos genéticos con técnicas genómicas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 del idioma inglés, principalmente.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2274E1" w:rsidRDefault="002274E1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Los estudiantes identifican </w:t>
            </w:r>
            <w:r w:rsidR="00C35E35" w:rsidRPr="002417F5">
              <w:rPr>
                <w:rFonts w:ascii="Arial" w:eastAsia="SimSun" w:hAnsi="Arial"/>
                <w:bCs/>
                <w:lang w:val="es-MX"/>
              </w:rPr>
              <w:t>y res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uelven problemas clínicos, se promueve la generación de un proyecto final. Realizan el expediente clínico-genético con </w:t>
            </w:r>
            <w:r>
              <w:rPr>
                <w:rFonts w:ascii="Arial" w:eastAsia="SimSun" w:hAnsi="Arial"/>
                <w:bCs/>
                <w:lang w:val="es-MX"/>
              </w:rPr>
              <w:t>base en</w:t>
            </w:r>
            <w:r w:rsidR="00C35E35" w:rsidRPr="002417F5">
              <w:rPr>
                <w:rFonts w:ascii="Arial" w:eastAsia="SimSun" w:hAnsi="Arial"/>
                <w:bCs/>
                <w:lang w:val="es-MX"/>
              </w:rPr>
              <w:t xml:space="preserve"> metodología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s </w:t>
            </w:r>
            <w:r w:rsidR="00C35E35" w:rsidRPr="002417F5">
              <w:rPr>
                <w:rFonts w:ascii="Arial" w:eastAsia="SimSun" w:hAnsi="Arial"/>
                <w:bCs/>
                <w:lang w:val="es-MX"/>
              </w:rPr>
              <w:t xml:space="preserve">cualitativas y 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cuantitativas. </w:t>
            </w:r>
          </w:p>
          <w:p w:rsidR="00C35E35" w:rsidRDefault="002274E1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Crean un genograma familiar con patología y selección de sujetos de estudio. </w:t>
            </w:r>
          </w:p>
          <w:p w:rsidR="00C35E35" w:rsidRDefault="00C35E35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-Aplican encuestas diagnósticas.</w:t>
            </w:r>
          </w:p>
          <w:p w:rsidR="00C35E35" w:rsidRDefault="002274E1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>Realizan la exploración física con sesión fotográfica de sujeto patológico y su somatometria, p</w:t>
            </w:r>
            <w:r>
              <w:rPr>
                <w:rFonts w:ascii="Arial" w:eastAsia="SimSun" w:hAnsi="Arial"/>
                <w:bCs/>
                <w:lang w:val="es-MX"/>
              </w:rPr>
              <w:t>roporcionando un d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iagnóstico integral. </w:t>
            </w:r>
          </w:p>
          <w:p w:rsidR="00D34D54" w:rsidRDefault="002274E1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 xml:space="preserve">Para ejecutar su </w:t>
            </w:r>
            <w:r w:rsidR="00D6173F" w:rsidRPr="002417F5">
              <w:rPr>
                <w:rFonts w:ascii="Arial" w:eastAsia="SimSun" w:hAnsi="Arial"/>
                <w:bCs/>
                <w:lang w:val="es-MX"/>
              </w:rPr>
              <w:t>responsabilidad social</w:t>
            </w:r>
            <w:r w:rsidR="00C35E35" w:rsidRPr="002417F5">
              <w:rPr>
                <w:rFonts w:ascii="Arial" w:eastAsia="SimSun" w:hAnsi="Arial"/>
                <w:bCs/>
                <w:lang w:val="es-MX"/>
              </w:rPr>
              <w:t xml:space="preserve"> y compromiso </w:t>
            </w:r>
            <w:r w:rsidR="00C35E35">
              <w:rPr>
                <w:rFonts w:ascii="Arial" w:eastAsia="SimSun" w:hAnsi="Arial"/>
                <w:bCs/>
                <w:lang w:val="es-MX"/>
              </w:rPr>
              <w:t>ciudadano explican a los pacientes lo que es en consentimiento informado y acuerdo de confidencialidad de los exámenes realizados o sugeridos.</w:t>
            </w:r>
          </w:p>
          <w:p w:rsidR="00C35E35" w:rsidRPr="007417F2" w:rsidRDefault="002274E1" w:rsidP="00C35E35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>Explican los cuidados de prevención para algunas patologías.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C35E35" w:rsidRDefault="00351024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>Utilizan bases de datos de plataformas genéticas.</w:t>
            </w:r>
          </w:p>
          <w:p w:rsidR="00D34D54" w:rsidRPr="007417F2" w:rsidRDefault="00351024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-</w:t>
            </w:r>
            <w:r w:rsidR="00C35E35">
              <w:rPr>
                <w:rFonts w:ascii="Arial" w:eastAsia="SimSun" w:hAnsi="Arial"/>
                <w:bCs/>
                <w:lang w:val="es-MX"/>
              </w:rPr>
              <w:t>Se invita a los estudiantes a los programas de jóvenes investigadores en los diferentes proyectos que tiene la academia de genética.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u w:val="dotted"/>
              </w:rPr>
            </w:pPr>
            <w:r w:rsidRPr="00D6173F">
              <w:rPr>
                <w:rFonts w:ascii="Arial" w:hAnsi="Arial" w:cs="Arial"/>
                <w:b/>
                <w:i/>
                <w:u w:val="dotted"/>
              </w:rPr>
              <w:lastRenderedPageBreak/>
              <w:t>Exámenes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CF8">
              <w:rPr>
                <w:rFonts w:ascii="Arial" w:hAnsi="Arial" w:cs="Arial"/>
                <w:bCs/>
              </w:rPr>
              <w:t>50</w:t>
            </w:r>
            <w:r>
              <w:rPr>
                <w:rFonts w:ascii="Arial" w:hAnsi="Arial" w:cs="Arial"/>
                <w:bCs/>
              </w:rPr>
              <w:t>%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u w:val="dotted"/>
              </w:rPr>
            </w:pPr>
            <w:r w:rsidRPr="00D6173F">
              <w:rPr>
                <w:rFonts w:ascii="Arial" w:hAnsi="Arial" w:cs="Arial"/>
                <w:b/>
                <w:i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u w:val="dotted"/>
              </w:rPr>
            </w:pPr>
            <w:r w:rsidRPr="00D6173F">
              <w:rPr>
                <w:rFonts w:ascii="Arial" w:hAnsi="Arial" w:cs="Arial"/>
                <w:b/>
                <w:i/>
                <w:u w:val="dotted"/>
              </w:rPr>
              <w:t>Tareas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i/>
                <w:u w:val="dotted"/>
              </w:rPr>
            </w:pPr>
            <w:r w:rsidRPr="00D6173F">
              <w:rPr>
                <w:rFonts w:ascii="Arial" w:hAnsi="Arial" w:cs="Arial"/>
                <w:b/>
                <w:i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u w:val="dotted"/>
                <w:lang w:val="es-ES_tradnl"/>
              </w:rPr>
            </w:pPr>
            <w:r w:rsidRPr="00D6173F">
              <w:rPr>
                <w:rFonts w:ascii="Arial" w:hAnsi="Arial" w:cs="Arial"/>
                <w:b/>
                <w:i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D6173F" w:rsidRPr="00C56507" w:rsidTr="00530C21">
        <w:trPr>
          <w:jc w:val="center"/>
        </w:trPr>
        <w:tc>
          <w:tcPr>
            <w:tcW w:w="3179" w:type="pct"/>
          </w:tcPr>
          <w:p w:rsidR="00D6173F" w:rsidRPr="00D6173F" w:rsidRDefault="00D6173F" w:rsidP="00D6173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u w:val="dotted"/>
                <w:lang w:val="es-ES_tradnl"/>
              </w:rPr>
            </w:pPr>
            <w:r w:rsidRPr="00D6173F">
              <w:rPr>
                <w:rFonts w:ascii="Arial" w:hAnsi="Arial" w:cs="Arial"/>
                <w:b/>
                <w:i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6173F" w:rsidRPr="00C93CF8" w:rsidRDefault="00D6173F" w:rsidP="00D61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9A4843" w:rsidRPr="00C56507" w:rsidTr="00530C21">
        <w:trPr>
          <w:jc w:val="center"/>
        </w:trPr>
        <w:tc>
          <w:tcPr>
            <w:tcW w:w="3179" w:type="pct"/>
          </w:tcPr>
          <w:p w:rsidR="009A4843" w:rsidRPr="00014EB7" w:rsidRDefault="009A4843" w:rsidP="009A4843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9A4843">
              <w:rPr>
                <w:rFonts w:ascii="Arial" w:hAnsi="Arial" w:cs="Arial"/>
                <w:b/>
                <w:i/>
                <w:sz w:val="22"/>
                <w:szCs w:val="22"/>
                <w:u w:val="dotted"/>
                <w:lang w:val="es-ES_tradnl"/>
              </w:rPr>
              <w:t>Portafolio: Necesario entregar con las evidencias de todos su trabajos calificados, anteriormente</w:t>
            </w:r>
            <w:r>
              <w:rPr>
                <w:rFonts w:ascii="Arial" w:hAnsi="Arial" w:cs="Arial"/>
                <w:i/>
                <w:sz w:val="22"/>
                <w:szCs w:val="22"/>
                <w:u w:val="dotted"/>
                <w:lang w:val="es-ES_tradnl"/>
              </w:rPr>
              <w:t xml:space="preserve"> </w:t>
            </w:r>
            <w:r w:rsidRPr="009A4843">
              <w:rPr>
                <w:rFonts w:ascii="Arial" w:hAnsi="Arial" w:cs="Arial"/>
                <w:b/>
                <w:i/>
                <w:sz w:val="22"/>
                <w:szCs w:val="22"/>
                <w:u w:val="dotted"/>
                <w:lang w:val="es-ES_tradnl"/>
              </w:rPr>
              <w:t>mencionados</w:t>
            </w:r>
          </w:p>
        </w:tc>
        <w:tc>
          <w:tcPr>
            <w:tcW w:w="1821" w:type="pct"/>
          </w:tcPr>
          <w:p w:rsidR="009A4843" w:rsidRPr="00C56507" w:rsidRDefault="009A4843" w:rsidP="009A4843">
            <w:pPr>
              <w:rPr>
                <w:rFonts w:ascii="Arial" w:hAnsi="Arial" w:cs="Arial"/>
              </w:rPr>
            </w:pPr>
          </w:p>
        </w:tc>
      </w:tr>
      <w:tr w:rsidR="009A4843" w:rsidRPr="00C56507" w:rsidTr="00530C21">
        <w:trPr>
          <w:jc w:val="center"/>
        </w:trPr>
        <w:tc>
          <w:tcPr>
            <w:tcW w:w="3179" w:type="pct"/>
          </w:tcPr>
          <w:p w:rsidR="009A4843" w:rsidRPr="009A4843" w:rsidRDefault="009A4843" w:rsidP="009A484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u w:val="dotted"/>
                <w:lang w:val="es-ES_tradnl"/>
              </w:rPr>
            </w:pPr>
            <w:r w:rsidRPr="009A4843">
              <w:rPr>
                <w:rFonts w:ascii="Arial" w:hAnsi="Arial" w:cs="Arial"/>
                <w:b/>
                <w:i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9A4843" w:rsidRPr="00C56507" w:rsidRDefault="009A4843" w:rsidP="009A4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9A4843" w:rsidRPr="00C56507" w:rsidTr="005A1949">
        <w:trPr>
          <w:jc w:val="center"/>
        </w:trPr>
        <w:tc>
          <w:tcPr>
            <w:tcW w:w="3179" w:type="pct"/>
          </w:tcPr>
          <w:p w:rsidR="009A4843" w:rsidRPr="000B28E2" w:rsidRDefault="009A4843" w:rsidP="009A4843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9A4843" w:rsidRDefault="009A4843" w:rsidP="009A4843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43" w:rsidRPr="00C56507" w:rsidTr="005A1949">
        <w:trPr>
          <w:jc w:val="center"/>
        </w:trPr>
        <w:tc>
          <w:tcPr>
            <w:tcW w:w="3179" w:type="pct"/>
          </w:tcPr>
          <w:p w:rsidR="009A4843" w:rsidRPr="00D6173F" w:rsidRDefault="009A4843" w:rsidP="009A48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6173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  <w:r w:rsidRPr="00D6173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ab/>
            </w:r>
            <w:r w:rsidRPr="00D6173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9A4843" w:rsidRPr="00D6173F" w:rsidRDefault="009A4843" w:rsidP="009A4843">
            <w:pPr>
              <w:tabs>
                <w:tab w:val="left" w:pos="119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173F">
              <w:rPr>
                <w:rFonts w:ascii="Arial" w:hAnsi="Arial" w:cs="Arial"/>
                <w:b/>
                <w:sz w:val="22"/>
                <w:szCs w:val="22"/>
              </w:rPr>
              <w:t>100 %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A12B80" w:rsidRDefault="00A12B80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A12B80" w:rsidRDefault="00A12B80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880842" w:rsidRPr="00880842" w:rsidRDefault="00A12B80" w:rsidP="00880842">
      <w:pPr>
        <w:pStyle w:val="EndNoteBibliography"/>
        <w:ind w:left="720" w:hanging="720"/>
      </w:pPr>
      <w:r>
        <w:rPr>
          <w:rFonts w:ascii="Arial" w:hAnsi="Arial" w:cs="Arial"/>
          <w:lang w:val="es-MX"/>
        </w:rPr>
        <w:fldChar w:fldCharType="begin"/>
      </w:r>
      <w:r>
        <w:rPr>
          <w:rFonts w:ascii="Arial" w:hAnsi="Arial" w:cs="Arial"/>
          <w:lang w:val="es-MX"/>
        </w:rPr>
        <w:instrText xml:space="preserve"> ADDIN EN.REFLIST </w:instrText>
      </w:r>
      <w:r>
        <w:rPr>
          <w:rFonts w:ascii="Arial" w:hAnsi="Arial" w:cs="Arial"/>
          <w:lang w:val="es-MX"/>
        </w:rPr>
        <w:fldChar w:fldCharType="separate"/>
      </w:r>
      <w:r w:rsidR="00880842" w:rsidRPr="00880842">
        <w:t xml:space="preserve"> </w:t>
      </w:r>
    </w:p>
    <w:p w:rsidR="00880842" w:rsidRPr="00880842" w:rsidRDefault="00880842" w:rsidP="00880842">
      <w:pPr>
        <w:pStyle w:val="EndNoteBibliography"/>
        <w:ind w:left="720" w:hanging="720"/>
      </w:pPr>
    </w:p>
    <w:p w:rsidR="00CC20E7" w:rsidRPr="000A7AAE" w:rsidRDefault="00A12B80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fldChar w:fldCharType="end"/>
      </w:r>
    </w:p>
    <w:sectPr w:rsidR="00CC20E7" w:rsidRPr="000A7AAE" w:rsidSect="00A12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64" w:rsidRDefault="00647964" w:rsidP="0046533F">
      <w:r>
        <w:separator/>
      </w:r>
    </w:p>
  </w:endnote>
  <w:endnote w:type="continuationSeparator" w:id="0">
    <w:p w:rsidR="00647964" w:rsidRDefault="00647964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A86F51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w:pict>
        <v:group id="Group 4" o:spid="_x0000_s2049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2051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205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206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206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2059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2057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205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205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205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2052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D34D54" w:rsidRPr="00A361EF" w:rsidRDefault="00006775">
                  <w:pPr>
                    <w:jc w:val="center"/>
                    <w:rPr>
                      <w:color w:val="4F81BD"/>
                    </w:rPr>
                  </w:pPr>
                  <w:r>
                    <w:fldChar w:fldCharType="begin"/>
                  </w:r>
                  <w:r w:rsidR="00442968">
                    <w:instrText xml:space="preserve"> PAGE   \* MERGEFORMAT </w:instrText>
                  </w:r>
                  <w:r>
                    <w:fldChar w:fldCharType="separate"/>
                  </w:r>
                  <w:r w:rsidR="00A86F51" w:rsidRPr="00A86F51">
                    <w:rPr>
                      <w:noProof/>
                      <w:color w:val="4F81BD"/>
                      <w:lang w:val="es-MX"/>
                    </w:rPr>
                    <w:t>1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64" w:rsidRDefault="00647964" w:rsidP="0046533F">
      <w:r>
        <w:separator/>
      </w:r>
    </w:p>
  </w:footnote>
  <w:footnote w:type="continuationSeparator" w:id="0">
    <w:p w:rsidR="00647964" w:rsidRDefault="00647964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431FE8" w:rsidRPr="00431FE8">
      <w:rPr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20A4"/>
    <w:multiLevelType w:val="hybridMultilevel"/>
    <w:tmpl w:val="F334C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018"/>
    <w:multiLevelType w:val="hybridMultilevel"/>
    <w:tmpl w:val="5E2655A2"/>
    <w:lvl w:ilvl="0" w:tplc="E0407638">
      <w:start w:val="1"/>
      <w:numFmt w:val="decimal"/>
      <w:lvlText w:val="%1."/>
      <w:lvlJc w:val="left"/>
      <w:pPr>
        <w:tabs>
          <w:tab w:val="num" w:pos="284"/>
        </w:tabs>
        <w:ind w:left="567" w:hanging="5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019DC"/>
    <w:multiLevelType w:val="hybridMultilevel"/>
    <w:tmpl w:val="FBC41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1728"/>
    <w:multiLevelType w:val="hybridMultilevel"/>
    <w:tmpl w:val="F934C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5488C"/>
    <w:multiLevelType w:val="hybridMultilevel"/>
    <w:tmpl w:val="D31EE422"/>
    <w:lvl w:ilvl="0" w:tplc="819007B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3B2"/>
    <w:multiLevelType w:val="hybridMultilevel"/>
    <w:tmpl w:val="5B8676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7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7606"/>
    <w:multiLevelType w:val="hybridMultilevel"/>
    <w:tmpl w:val="5E2655A2"/>
    <w:lvl w:ilvl="0" w:tplc="E0407638">
      <w:start w:val="1"/>
      <w:numFmt w:val="decimal"/>
      <w:lvlText w:val="%1."/>
      <w:lvlJc w:val="left"/>
      <w:pPr>
        <w:tabs>
          <w:tab w:val="num" w:pos="284"/>
        </w:tabs>
        <w:ind w:left="567" w:hanging="5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35081F"/>
    <w:multiLevelType w:val="hybridMultilevel"/>
    <w:tmpl w:val="746A990E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70890"/>
    <w:multiLevelType w:val="hybridMultilevel"/>
    <w:tmpl w:val="D4A65DE8"/>
    <w:lvl w:ilvl="0" w:tplc="ED4E63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30976"/>
    <w:multiLevelType w:val="hybridMultilevel"/>
    <w:tmpl w:val="E3640F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CCEE6F1C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28045D"/>
    <w:multiLevelType w:val="hybridMultilevel"/>
    <w:tmpl w:val="219CE67E"/>
    <w:lvl w:ilvl="0" w:tplc="E0407638">
      <w:start w:val="1"/>
      <w:numFmt w:val="decimal"/>
      <w:lvlText w:val="%1."/>
      <w:lvlJc w:val="left"/>
      <w:pPr>
        <w:tabs>
          <w:tab w:val="num" w:pos="851"/>
        </w:tabs>
        <w:ind w:left="1134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146F47"/>
    <w:multiLevelType w:val="hybridMultilevel"/>
    <w:tmpl w:val="5E2655A2"/>
    <w:lvl w:ilvl="0" w:tplc="E0407638">
      <w:start w:val="1"/>
      <w:numFmt w:val="decimal"/>
      <w:lvlText w:val="%1."/>
      <w:lvlJc w:val="left"/>
      <w:pPr>
        <w:tabs>
          <w:tab w:val="num" w:pos="284"/>
        </w:tabs>
        <w:ind w:left="567" w:hanging="5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E6ED4"/>
    <w:multiLevelType w:val="hybridMultilevel"/>
    <w:tmpl w:val="CE8083E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225C4"/>
    <w:multiLevelType w:val="hybridMultilevel"/>
    <w:tmpl w:val="D6B2F28C"/>
    <w:lvl w:ilvl="0" w:tplc="85B2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20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0"/>
  </w:num>
  <w:num w:numId="17">
    <w:abstractNumId w:val="4"/>
  </w:num>
  <w:num w:numId="18">
    <w:abstractNumId w:val="19"/>
  </w:num>
  <w:num w:numId="19">
    <w:abstractNumId w:val="9"/>
  </w:num>
  <w:num w:numId="20">
    <w:abstractNumId w:val="1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2ad0dzmx05avewsduxrd58zwar50trda0e&quot;&gt;My EndNote Library medicina genomica&lt;record-ids&gt;&lt;item&gt;18&lt;/item&gt;&lt;item&gt;22&lt;/item&gt;&lt;item&gt;23&lt;/item&gt;&lt;item&gt;24&lt;/item&gt;&lt;/record-ids&gt;&lt;/item&gt;&lt;/Libraries&gt;"/>
  </w:docVars>
  <w:rsids>
    <w:rsidRoot w:val="0046533F"/>
    <w:rsid w:val="0000339E"/>
    <w:rsid w:val="00006775"/>
    <w:rsid w:val="00014EB7"/>
    <w:rsid w:val="00015D5C"/>
    <w:rsid w:val="000319DA"/>
    <w:rsid w:val="00042265"/>
    <w:rsid w:val="00054D6E"/>
    <w:rsid w:val="000615E7"/>
    <w:rsid w:val="00061716"/>
    <w:rsid w:val="000838C3"/>
    <w:rsid w:val="0008671A"/>
    <w:rsid w:val="00094A99"/>
    <w:rsid w:val="00095B0B"/>
    <w:rsid w:val="000A0D9E"/>
    <w:rsid w:val="000A7AAE"/>
    <w:rsid w:val="000B28E2"/>
    <w:rsid w:val="000D13CC"/>
    <w:rsid w:val="000D300B"/>
    <w:rsid w:val="000D5D9F"/>
    <w:rsid w:val="000E2E4B"/>
    <w:rsid w:val="000F2A89"/>
    <w:rsid w:val="00102046"/>
    <w:rsid w:val="0010740B"/>
    <w:rsid w:val="00111F53"/>
    <w:rsid w:val="00114C20"/>
    <w:rsid w:val="00121D5A"/>
    <w:rsid w:val="001265AD"/>
    <w:rsid w:val="00133804"/>
    <w:rsid w:val="00137456"/>
    <w:rsid w:val="001547A2"/>
    <w:rsid w:val="00155F94"/>
    <w:rsid w:val="00161FA5"/>
    <w:rsid w:val="001874CB"/>
    <w:rsid w:val="00195AC7"/>
    <w:rsid w:val="001A6902"/>
    <w:rsid w:val="001B7B4D"/>
    <w:rsid w:val="001C2F26"/>
    <w:rsid w:val="001E594B"/>
    <w:rsid w:val="002042DF"/>
    <w:rsid w:val="00214F73"/>
    <w:rsid w:val="00216A47"/>
    <w:rsid w:val="002234B6"/>
    <w:rsid w:val="00225677"/>
    <w:rsid w:val="002274E1"/>
    <w:rsid w:val="0024532A"/>
    <w:rsid w:val="00253FE7"/>
    <w:rsid w:val="00265283"/>
    <w:rsid w:val="00275143"/>
    <w:rsid w:val="002870C1"/>
    <w:rsid w:val="00297367"/>
    <w:rsid w:val="002A47AF"/>
    <w:rsid w:val="002B3805"/>
    <w:rsid w:val="002C0D6F"/>
    <w:rsid w:val="002D44A6"/>
    <w:rsid w:val="002F0277"/>
    <w:rsid w:val="002F4AD4"/>
    <w:rsid w:val="00303099"/>
    <w:rsid w:val="0030401F"/>
    <w:rsid w:val="003326CE"/>
    <w:rsid w:val="00351024"/>
    <w:rsid w:val="003554DF"/>
    <w:rsid w:val="003567A6"/>
    <w:rsid w:val="0036291E"/>
    <w:rsid w:val="00362D58"/>
    <w:rsid w:val="00367146"/>
    <w:rsid w:val="0037115E"/>
    <w:rsid w:val="003759FD"/>
    <w:rsid w:val="00385EEC"/>
    <w:rsid w:val="00394802"/>
    <w:rsid w:val="003A00D1"/>
    <w:rsid w:val="003A05EE"/>
    <w:rsid w:val="003A3362"/>
    <w:rsid w:val="003A33FB"/>
    <w:rsid w:val="003B6458"/>
    <w:rsid w:val="003C3DCA"/>
    <w:rsid w:val="003F4184"/>
    <w:rsid w:val="004055DD"/>
    <w:rsid w:val="00417A1E"/>
    <w:rsid w:val="00417EA5"/>
    <w:rsid w:val="00431FE8"/>
    <w:rsid w:val="00442968"/>
    <w:rsid w:val="0046533F"/>
    <w:rsid w:val="00467B91"/>
    <w:rsid w:val="0048344C"/>
    <w:rsid w:val="00487B97"/>
    <w:rsid w:val="0049145A"/>
    <w:rsid w:val="004B3B3D"/>
    <w:rsid w:val="004B7FFC"/>
    <w:rsid w:val="004C672D"/>
    <w:rsid w:val="004D1440"/>
    <w:rsid w:val="004D1F5F"/>
    <w:rsid w:val="004D5885"/>
    <w:rsid w:val="004E0B92"/>
    <w:rsid w:val="00506D19"/>
    <w:rsid w:val="00510DBB"/>
    <w:rsid w:val="00516EB7"/>
    <w:rsid w:val="00530C21"/>
    <w:rsid w:val="0054463F"/>
    <w:rsid w:val="00555E50"/>
    <w:rsid w:val="005673FA"/>
    <w:rsid w:val="005777F8"/>
    <w:rsid w:val="00592002"/>
    <w:rsid w:val="00596066"/>
    <w:rsid w:val="005A1949"/>
    <w:rsid w:val="005B32BC"/>
    <w:rsid w:val="005B771E"/>
    <w:rsid w:val="005C364F"/>
    <w:rsid w:val="005C785C"/>
    <w:rsid w:val="005F13E8"/>
    <w:rsid w:val="006306D6"/>
    <w:rsid w:val="006314AA"/>
    <w:rsid w:val="006331DE"/>
    <w:rsid w:val="00634893"/>
    <w:rsid w:val="00637873"/>
    <w:rsid w:val="00647964"/>
    <w:rsid w:val="00653451"/>
    <w:rsid w:val="006552CE"/>
    <w:rsid w:val="00675D1E"/>
    <w:rsid w:val="006766EF"/>
    <w:rsid w:val="00682924"/>
    <w:rsid w:val="006934C3"/>
    <w:rsid w:val="00695C87"/>
    <w:rsid w:val="00697445"/>
    <w:rsid w:val="006A526A"/>
    <w:rsid w:val="006B14D4"/>
    <w:rsid w:val="006C41B1"/>
    <w:rsid w:val="006D348C"/>
    <w:rsid w:val="006E0389"/>
    <w:rsid w:val="006E34E3"/>
    <w:rsid w:val="007074E3"/>
    <w:rsid w:val="007118A1"/>
    <w:rsid w:val="0073123B"/>
    <w:rsid w:val="007372AE"/>
    <w:rsid w:val="007417F2"/>
    <w:rsid w:val="00742FC9"/>
    <w:rsid w:val="00747266"/>
    <w:rsid w:val="00771E26"/>
    <w:rsid w:val="00785058"/>
    <w:rsid w:val="00790C5A"/>
    <w:rsid w:val="00793527"/>
    <w:rsid w:val="00795103"/>
    <w:rsid w:val="007A5CD3"/>
    <w:rsid w:val="007B020F"/>
    <w:rsid w:val="007B4B3C"/>
    <w:rsid w:val="007C1FAA"/>
    <w:rsid w:val="007E4219"/>
    <w:rsid w:val="007F1CB6"/>
    <w:rsid w:val="007F7003"/>
    <w:rsid w:val="00815CDE"/>
    <w:rsid w:val="00821141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0842"/>
    <w:rsid w:val="008870A8"/>
    <w:rsid w:val="008921C9"/>
    <w:rsid w:val="008A1020"/>
    <w:rsid w:val="008A1355"/>
    <w:rsid w:val="008A174A"/>
    <w:rsid w:val="008B3AF3"/>
    <w:rsid w:val="008B4BDE"/>
    <w:rsid w:val="008C4771"/>
    <w:rsid w:val="008D502C"/>
    <w:rsid w:val="008F689A"/>
    <w:rsid w:val="0092075E"/>
    <w:rsid w:val="009438DF"/>
    <w:rsid w:val="009514DA"/>
    <w:rsid w:val="00952022"/>
    <w:rsid w:val="00954703"/>
    <w:rsid w:val="00962E56"/>
    <w:rsid w:val="0097527C"/>
    <w:rsid w:val="00976E42"/>
    <w:rsid w:val="009862CC"/>
    <w:rsid w:val="009A4843"/>
    <w:rsid w:val="009A5880"/>
    <w:rsid w:val="009B017A"/>
    <w:rsid w:val="009D5718"/>
    <w:rsid w:val="009D5A33"/>
    <w:rsid w:val="00A12B80"/>
    <w:rsid w:val="00A361EF"/>
    <w:rsid w:val="00A37A69"/>
    <w:rsid w:val="00A55773"/>
    <w:rsid w:val="00A55B50"/>
    <w:rsid w:val="00A65A3B"/>
    <w:rsid w:val="00A86F51"/>
    <w:rsid w:val="00A9382D"/>
    <w:rsid w:val="00AA28DF"/>
    <w:rsid w:val="00AA5F53"/>
    <w:rsid w:val="00AB59BF"/>
    <w:rsid w:val="00AC3AF4"/>
    <w:rsid w:val="00AC407E"/>
    <w:rsid w:val="00B00D23"/>
    <w:rsid w:val="00B010ED"/>
    <w:rsid w:val="00B32A17"/>
    <w:rsid w:val="00B341D6"/>
    <w:rsid w:val="00B43F64"/>
    <w:rsid w:val="00B52F17"/>
    <w:rsid w:val="00B55A4F"/>
    <w:rsid w:val="00B60CF0"/>
    <w:rsid w:val="00B61B75"/>
    <w:rsid w:val="00B64E1B"/>
    <w:rsid w:val="00B7211B"/>
    <w:rsid w:val="00B733AD"/>
    <w:rsid w:val="00B808B6"/>
    <w:rsid w:val="00BA6485"/>
    <w:rsid w:val="00BB3086"/>
    <w:rsid w:val="00BC697B"/>
    <w:rsid w:val="00BC775F"/>
    <w:rsid w:val="00C03944"/>
    <w:rsid w:val="00C15980"/>
    <w:rsid w:val="00C30657"/>
    <w:rsid w:val="00C334AE"/>
    <w:rsid w:val="00C33775"/>
    <w:rsid w:val="00C35E35"/>
    <w:rsid w:val="00C377F8"/>
    <w:rsid w:val="00C45145"/>
    <w:rsid w:val="00C54C28"/>
    <w:rsid w:val="00C56077"/>
    <w:rsid w:val="00C56507"/>
    <w:rsid w:val="00CA7143"/>
    <w:rsid w:val="00CB39AE"/>
    <w:rsid w:val="00CC0127"/>
    <w:rsid w:val="00CC0BBE"/>
    <w:rsid w:val="00CC20E7"/>
    <w:rsid w:val="00CD3329"/>
    <w:rsid w:val="00D075FB"/>
    <w:rsid w:val="00D3425D"/>
    <w:rsid w:val="00D34D54"/>
    <w:rsid w:val="00D36A16"/>
    <w:rsid w:val="00D4289C"/>
    <w:rsid w:val="00D43B7C"/>
    <w:rsid w:val="00D47094"/>
    <w:rsid w:val="00D51855"/>
    <w:rsid w:val="00D6173F"/>
    <w:rsid w:val="00D70BD7"/>
    <w:rsid w:val="00D70BEB"/>
    <w:rsid w:val="00D75A66"/>
    <w:rsid w:val="00D85529"/>
    <w:rsid w:val="00DC4EDC"/>
    <w:rsid w:val="00DD0FB4"/>
    <w:rsid w:val="00DE2E4B"/>
    <w:rsid w:val="00DF674C"/>
    <w:rsid w:val="00E00CAE"/>
    <w:rsid w:val="00E07B5A"/>
    <w:rsid w:val="00E174A6"/>
    <w:rsid w:val="00E17AAA"/>
    <w:rsid w:val="00E243BE"/>
    <w:rsid w:val="00E2510C"/>
    <w:rsid w:val="00E3133A"/>
    <w:rsid w:val="00E56184"/>
    <w:rsid w:val="00E6239F"/>
    <w:rsid w:val="00E63317"/>
    <w:rsid w:val="00E647A3"/>
    <w:rsid w:val="00E818F0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4926"/>
    <w:rsid w:val="00F4769E"/>
    <w:rsid w:val="00F61318"/>
    <w:rsid w:val="00F87B24"/>
    <w:rsid w:val="00F87F94"/>
    <w:rsid w:val="00F96E2E"/>
    <w:rsid w:val="00FA4D6C"/>
    <w:rsid w:val="00FD1FB8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5:docId w15:val="{8129BF05-712B-4C50-B506-4AB78042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link w:val="PrrafodelistaCar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styleId="NormalWeb">
    <w:name w:val="Normal (Web)"/>
    <w:basedOn w:val="Normal"/>
    <w:rsid w:val="007F1CB6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ar"/>
    <w:rsid w:val="00A12B80"/>
    <w:pPr>
      <w:jc w:val="center"/>
    </w:pPr>
    <w:rPr>
      <w:noProof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A12B80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dNoteBibliographyTitleCar">
    <w:name w:val="EndNote Bibliography Title Car"/>
    <w:basedOn w:val="PrrafodelistaCar"/>
    <w:link w:val="EndNoteBibliographyTitle"/>
    <w:rsid w:val="00A12B80"/>
    <w:rPr>
      <w:rFonts w:ascii="Times New Roman" w:eastAsia="Times New Roman" w:hAnsi="Times New Roman"/>
      <w:noProof/>
      <w:sz w:val="24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ar"/>
    <w:rsid w:val="00A12B80"/>
    <w:pPr>
      <w:jc w:val="both"/>
    </w:pPr>
    <w:rPr>
      <w:noProof/>
    </w:rPr>
  </w:style>
  <w:style w:type="character" w:customStyle="1" w:styleId="EndNoteBibliographyCar">
    <w:name w:val="EndNote Bibliography Car"/>
    <w:basedOn w:val="PrrafodelistaCar"/>
    <w:link w:val="EndNoteBibliography"/>
    <w:rsid w:val="00A12B80"/>
    <w:rPr>
      <w:rFonts w:ascii="Times New Roman" w:eastAsia="Times New Roman" w:hAnsi="Times New Roman"/>
      <w:noProof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06F9-1224-44B5-9380-EF1CC9D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3035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Maria Teresa Abad C</cp:lastModifiedBy>
  <cp:revision>2</cp:revision>
  <cp:lastPrinted>2016-11-15T18:20:00Z</cp:lastPrinted>
  <dcterms:created xsi:type="dcterms:W3CDTF">2016-11-15T22:51:00Z</dcterms:created>
  <dcterms:modified xsi:type="dcterms:W3CDTF">2016-11-15T22:51:00Z</dcterms:modified>
</cp:coreProperties>
</file>